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6CE" w:rsidRDefault="008B26CE" w:rsidP="008B26CE">
      <w:pPr>
        <w:spacing w:after="0" w:line="240" w:lineRule="auto"/>
        <w:jc w:val="center"/>
        <w:rPr>
          <w:rFonts w:eastAsia="Times New Roman" w:cs="Times New Roman"/>
          <w:b/>
          <w:snapToGrid w:val="0"/>
          <w:color w:val="auto"/>
          <w:sz w:val="28"/>
        </w:rPr>
      </w:pPr>
      <w:r>
        <w:rPr>
          <w:rFonts w:eastAsia="Times New Roman" w:cs="Times New Roman"/>
          <w:b/>
          <w:noProof/>
          <w:color w:val="auto"/>
          <w:sz w:val="28"/>
        </w:rPr>
        <w:drawing>
          <wp:inline distT="0" distB="0" distL="0" distR="0" wp14:anchorId="1D7E4AAE" wp14:editId="1103B9EC">
            <wp:extent cx="4498982"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498982" cy="1028700"/>
                    </a:xfrm>
                    <a:prstGeom prst="rect">
                      <a:avLst/>
                    </a:prstGeom>
                    <a:noFill/>
                    <a:ln>
                      <a:noFill/>
                    </a:ln>
                  </pic:spPr>
                </pic:pic>
              </a:graphicData>
            </a:graphic>
          </wp:inline>
        </w:drawing>
      </w:r>
    </w:p>
    <w:p w:rsidR="008B26CE" w:rsidRDefault="00043333" w:rsidP="008B26CE">
      <w:pPr>
        <w:widowControl w:val="0"/>
        <w:tabs>
          <w:tab w:val="left" w:pos="0"/>
        </w:tabs>
        <w:suppressAutoHyphens/>
        <w:spacing w:after="0" w:line="240" w:lineRule="auto"/>
        <w:jc w:val="center"/>
        <w:rPr>
          <w:rFonts w:eastAsia="Times New Roman" w:cs="Times New Roman"/>
          <w:b/>
          <w:snapToGrid w:val="0"/>
          <w:color w:val="auto"/>
          <w:sz w:val="24"/>
          <w:szCs w:val="20"/>
        </w:rPr>
      </w:pPr>
      <w:hyperlink w:anchor="ATop" w:history="1"/>
    </w:p>
    <w:p w:rsidR="00043333" w:rsidRPr="00EE3DD6" w:rsidRDefault="00043333" w:rsidP="00043333">
      <w:pPr>
        <w:widowControl w:val="0"/>
        <w:tabs>
          <w:tab w:val="left" w:pos="0"/>
        </w:tabs>
        <w:suppressAutoHyphens/>
        <w:spacing w:after="0" w:line="240" w:lineRule="auto"/>
        <w:rPr>
          <w:rFonts w:eastAsia="Times New Roman" w:cs="Times New Roman"/>
          <w:b/>
          <w:snapToGrid w:val="0"/>
          <w:color w:val="auto"/>
          <w:sz w:val="24"/>
          <w:szCs w:val="20"/>
        </w:rPr>
      </w:pPr>
      <w:r w:rsidRPr="00EE3DD6">
        <w:rPr>
          <w:rFonts w:eastAsia="Times New Roman" w:cs="Times New Roman"/>
          <w:b/>
          <w:snapToGrid w:val="0"/>
          <w:color w:val="auto"/>
          <w:sz w:val="24"/>
          <w:szCs w:val="20"/>
        </w:rPr>
        <w:t xml:space="preserve">POLICY CATEGORY:  </w:t>
      </w:r>
      <w:r w:rsidRPr="00EE3DD6">
        <w:rPr>
          <w:rFonts w:eastAsia="Times New Roman" w:cs="Times New Roman"/>
          <w:b/>
          <w:snapToGrid w:val="0"/>
          <w:color w:val="auto"/>
          <w:sz w:val="24"/>
          <w:szCs w:val="20"/>
        </w:rPr>
        <w:tab/>
      </w:r>
      <w:r>
        <w:rPr>
          <w:rFonts w:eastAsia="Times New Roman" w:cs="Times New Roman"/>
          <w:b/>
          <w:snapToGrid w:val="0"/>
          <w:color w:val="auto"/>
          <w:sz w:val="24"/>
          <w:szCs w:val="20"/>
        </w:rPr>
        <w:t>S</w:t>
      </w:r>
      <w:r w:rsidRPr="00EE3DD6">
        <w:rPr>
          <w:rFonts w:eastAsia="Times New Roman" w:cs="Times New Roman"/>
          <w:b/>
          <w:snapToGrid w:val="0"/>
          <w:color w:val="auto"/>
          <w:sz w:val="24"/>
          <w:szCs w:val="20"/>
        </w:rPr>
        <w:t>.</w:t>
      </w:r>
      <w:r w:rsidRPr="00EE3DD6">
        <w:rPr>
          <w:rFonts w:eastAsia="Times New Roman" w:cs="Times New Roman"/>
          <w:b/>
          <w:snapToGrid w:val="0"/>
          <w:color w:val="auto"/>
          <w:sz w:val="24"/>
          <w:szCs w:val="20"/>
        </w:rPr>
        <w:tab/>
      </w:r>
      <w:r>
        <w:rPr>
          <w:rFonts w:eastAsia="Times New Roman" w:cs="Times New Roman"/>
          <w:b/>
          <w:snapToGrid w:val="0"/>
          <w:color w:val="auto"/>
          <w:sz w:val="24"/>
          <w:szCs w:val="20"/>
        </w:rPr>
        <w:t>STAFF POLICIES &amp; PROCEDURES</w:t>
      </w:r>
    </w:p>
    <w:p w:rsidR="00043333" w:rsidRPr="00EE3DD6" w:rsidRDefault="00043333" w:rsidP="00043333">
      <w:pPr>
        <w:widowControl w:val="0"/>
        <w:tabs>
          <w:tab w:val="left" w:pos="0"/>
        </w:tabs>
        <w:suppressAutoHyphens/>
        <w:spacing w:after="0" w:line="240" w:lineRule="auto"/>
        <w:rPr>
          <w:rFonts w:eastAsia="Times New Roman" w:cs="Times New Roman"/>
          <w:b/>
          <w:snapToGrid w:val="0"/>
          <w:color w:val="auto"/>
          <w:sz w:val="24"/>
          <w:szCs w:val="20"/>
        </w:rPr>
      </w:pPr>
      <w:r w:rsidRPr="00EE3DD6">
        <w:rPr>
          <w:rFonts w:eastAsia="Times New Roman" w:cs="Times New Roman"/>
          <w:b/>
          <w:snapToGrid w:val="0"/>
          <w:color w:val="auto"/>
          <w:sz w:val="24"/>
          <w:szCs w:val="20"/>
        </w:rPr>
        <w:t xml:space="preserve">POLICY TYPE: </w:t>
      </w:r>
      <w:r w:rsidRPr="00EE3DD6">
        <w:rPr>
          <w:rFonts w:eastAsia="Times New Roman" w:cs="Times New Roman"/>
          <w:b/>
          <w:snapToGrid w:val="0"/>
          <w:color w:val="auto"/>
          <w:sz w:val="24"/>
          <w:szCs w:val="20"/>
        </w:rPr>
        <w:tab/>
      </w:r>
      <w:r w:rsidRPr="00EE3DD6">
        <w:rPr>
          <w:rFonts w:eastAsia="Times New Roman" w:cs="Times New Roman"/>
          <w:b/>
          <w:snapToGrid w:val="0"/>
          <w:color w:val="auto"/>
          <w:sz w:val="24"/>
          <w:szCs w:val="20"/>
        </w:rPr>
        <w:tab/>
      </w:r>
      <w:r>
        <w:rPr>
          <w:rFonts w:eastAsia="Times New Roman" w:cs="Times New Roman"/>
          <w:b/>
          <w:snapToGrid w:val="0"/>
          <w:color w:val="auto"/>
          <w:sz w:val="24"/>
          <w:szCs w:val="20"/>
        </w:rPr>
        <w:t>S</w:t>
      </w:r>
      <w:r w:rsidRPr="00EE3DD6">
        <w:rPr>
          <w:rFonts w:eastAsia="Times New Roman" w:cs="Times New Roman"/>
          <w:b/>
          <w:snapToGrid w:val="0"/>
          <w:color w:val="auto"/>
          <w:sz w:val="24"/>
          <w:szCs w:val="20"/>
        </w:rPr>
        <w:t>.</w:t>
      </w:r>
      <w:r>
        <w:rPr>
          <w:rFonts w:eastAsia="Times New Roman" w:cs="Times New Roman"/>
          <w:b/>
          <w:snapToGrid w:val="0"/>
          <w:color w:val="auto"/>
          <w:sz w:val="24"/>
          <w:szCs w:val="20"/>
        </w:rPr>
        <w:t>C</w:t>
      </w:r>
      <w:r w:rsidRPr="00EE3DD6">
        <w:rPr>
          <w:rFonts w:eastAsia="Times New Roman" w:cs="Times New Roman"/>
          <w:b/>
          <w:snapToGrid w:val="0"/>
          <w:color w:val="auto"/>
          <w:sz w:val="24"/>
          <w:szCs w:val="20"/>
        </w:rPr>
        <w:t>.</w:t>
      </w:r>
      <w:r w:rsidRPr="00EE3DD6">
        <w:rPr>
          <w:rFonts w:eastAsia="Times New Roman" w:cs="Times New Roman"/>
          <w:b/>
          <w:snapToGrid w:val="0"/>
          <w:color w:val="auto"/>
          <w:sz w:val="24"/>
          <w:szCs w:val="20"/>
        </w:rPr>
        <w:tab/>
      </w:r>
      <w:r>
        <w:rPr>
          <w:rFonts w:eastAsia="Times New Roman" w:cs="Times New Roman"/>
          <w:b/>
          <w:snapToGrid w:val="0"/>
          <w:color w:val="auto"/>
          <w:sz w:val="24"/>
          <w:szCs w:val="20"/>
        </w:rPr>
        <w:t>FINANCIAL POLICIES &amp; PROCEDURES</w:t>
      </w:r>
    </w:p>
    <w:p w:rsidR="008B26CE" w:rsidRDefault="008B26CE" w:rsidP="008B26CE">
      <w:pPr>
        <w:widowControl w:val="0"/>
        <w:suppressAutoHyphens/>
        <w:spacing w:after="0" w:line="240" w:lineRule="auto"/>
        <w:rPr>
          <w:rFonts w:eastAsia="Times New Roman" w:cs="Times New Roman"/>
          <w:b/>
          <w:i/>
          <w:snapToGrid w:val="0"/>
          <w:color w:val="auto"/>
          <w:spacing w:val="-3"/>
          <w:sz w:val="24"/>
          <w:szCs w:val="20"/>
        </w:rPr>
      </w:pPr>
      <w:r>
        <w:rPr>
          <w:rFonts w:eastAsia="Times New Roman" w:cs="Times New Roman"/>
          <w:b/>
          <w:snapToGrid w:val="0"/>
          <w:color w:val="auto"/>
          <w:spacing w:val="-3"/>
          <w:sz w:val="24"/>
          <w:szCs w:val="20"/>
        </w:rPr>
        <w:t xml:space="preserve">POLICY TITLE:  </w:t>
      </w:r>
      <w:r>
        <w:rPr>
          <w:rFonts w:eastAsia="Times New Roman" w:cs="Times New Roman"/>
          <w:b/>
          <w:snapToGrid w:val="0"/>
          <w:color w:val="auto"/>
          <w:spacing w:val="-3"/>
          <w:sz w:val="24"/>
          <w:szCs w:val="20"/>
        </w:rPr>
        <w:tab/>
      </w:r>
      <w:r>
        <w:rPr>
          <w:rFonts w:eastAsia="Times New Roman" w:cs="Times New Roman"/>
          <w:b/>
          <w:snapToGrid w:val="0"/>
          <w:color w:val="auto"/>
          <w:spacing w:val="-3"/>
          <w:sz w:val="24"/>
          <w:szCs w:val="20"/>
        </w:rPr>
        <w:tab/>
      </w:r>
      <w:r w:rsidR="00043333">
        <w:rPr>
          <w:rFonts w:eastAsia="Times New Roman" w:cs="Times New Roman"/>
          <w:b/>
          <w:snapToGrid w:val="0"/>
          <w:color w:val="auto"/>
          <w:spacing w:val="-3"/>
          <w:sz w:val="24"/>
          <w:szCs w:val="20"/>
        </w:rPr>
        <w:t>S.C.5.</w:t>
      </w:r>
      <w:r>
        <w:rPr>
          <w:rFonts w:eastAsia="Times New Roman" w:cs="Times New Roman"/>
          <w:b/>
          <w:snapToGrid w:val="0"/>
          <w:color w:val="auto"/>
          <w:spacing w:val="-3"/>
          <w:sz w:val="24"/>
          <w:szCs w:val="20"/>
        </w:rPr>
        <w:tab/>
      </w:r>
      <w:r w:rsidRPr="00043333">
        <w:rPr>
          <w:rFonts w:eastAsia="Times New Roman" w:cs="Times New Roman"/>
          <w:b/>
          <w:snapToGrid w:val="0"/>
          <w:color w:val="auto"/>
          <w:spacing w:val="-3"/>
          <w:sz w:val="24"/>
          <w:szCs w:val="20"/>
        </w:rPr>
        <w:t>Refunds</w:t>
      </w:r>
    </w:p>
    <w:p w:rsidR="008B26CE" w:rsidRPr="00043333" w:rsidRDefault="008B26CE" w:rsidP="008B26CE">
      <w:pPr>
        <w:widowControl w:val="0"/>
        <w:suppressAutoHyphens/>
        <w:spacing w:after="0" w:line="240" w:lineRule="auto"/>
        <w:jc w:val="right"/>
        <w:rPr>
          <w:rFonts w:eastAsia="Times New Roman" w:cs="Times New Roman"/>
          <w:b/>
          <w:snapToGrid w:val="0"/>
          <w:color w:val="auto"/>
          <w:spacing w:val="-3"/>
          <w:sz w:val="24"/>
          <w:szCs w:val="20"/>
        </w:rPr>
      </w:pPr>
      <w:r>
        <w:rPr>
          <w:rFonts w:eastAsia="Times New Roman" w:cs="Times New Roman"/>
          <w:b/>
          <w:i/>
          <w:snapToGrid w:val="0"/>
          <w:color w:val="auto"/>
          <w:spacing w:val="-3"/>
          <w:sz w:val="24"/>
          <w:szCs w:val="20"/>
        </w:rPr>
        <w:tab/>
      </w:r>
      <w:r>
        <w:rPr>
          <w:rFonts w:eastAsia="Times New Roman" w:cs="Times New Roman"/>
          <w:b/>
          <w:i/>
          <w:snapToGrid w:val="0"/>
          <w:color w:val="auto"/>
          <w:spacing w:val="-3"/>
          <w:sz w:val="24"/>
          <w:szCs w:val="20"/>
        </w:rPr>
        <w:tab/>
      </w:r>
      <w:r>
        <w:rPr>
          <w:rFonts w:eastAsia="Times New Roman" w:cs="Times New Roman"/>
          <w:b/>
          <w:i/>
          <w:snapToGrid w:val="0"/>
          <w:color w:val="auto"/>
          <w:spacing w:val="-3"/>
          <w:sz w:val="24"/>
          <w:szCs w:val="20"/>
        </w:rPr>
        <w:tab/>
      </w:r>
      <w:r w:rsidRPr="00043333">
        <w:rPr>
          <w:rFonts w:eastAsia="Times New Roman" w:cs="Times New Roman"/>
          <w:b/>
          <w:snapToGrid w:val="0"/>
          <w:color w:val="auto"/>
          <w:spacing w:val="-3"/>
          <w:sz w:val="24"/>
          <w:szCs w:val="20"/>
        </w:rPr>
        <w:t>Approved by Board of Directors – 7/24/12</w:t>
      </w:r>
      <w:r w:rsidR="00043333">
        <w:rPr>
          <w:rFonts w:eastAsia="Times New Roman" w:cs="Times New Roman"/>
          <w:b/>
          <w:snapToGrid w:val="0"/>
          <w:color w:val="auto"/>
          <w:spacing w:val="-3"/>
          <w:sz w:val="24"/>
          <w:szCs w:val="20"/>
        </w:rPr>
        <w:t xml:space="preserve"> &amp; Delegated to President 6/27/17</w:t>
      </w:r>
    </w:p>
    <w:p w:rsidR="008B26CE" w:rsidRDefault="008B26CE" w:rsidP="008B26CE">
      <w:pPr>
        <w:widowControl w:val="0"/>
        <w:tabs>
          <w:tab w:val="left" w:pos="0"/>
        </w:tabs>
        <w:suppressAutoHyphens/>
        <w:spacing w:after="0" w:line="72" w:lineRule="exact"/>
        <w:jc w:val="both"/>
        <w:rPr>
          <w:rFonts w:eastAsia="Times New Roman" w:cs="Times New Roman"/>
          <w:snapToGrid w:val="0"/>
          <w:color w:val="auto"/>
          <w:spacing w:val="-3"/>
          <w:sz w:val="24"/>
          <w:szCs w:val="20"/>
        </w:rPr>
      </w:pPr>
    </w:p>
    <w:p w:rsidR="008B26CE" w:rsidRDefault="008B26CE" w:rsidP="008B26CE">
      <w:pPr>
        <w:widowControl w:val="0"/>
        <w:tabs>
          <w:tab w:val="left" w:pos="0"/>
        </w:tabs>
        <w:suppressAutoHyphens/>
        <w:spacing w:after="0" w:line="240" w:lineRule="auto"/>
        <w:jc w:val="both"/>
        <w:rPr>
          <w:rFonts w:eastAsia="Times New Roman" w:cs="Times New Roman"/>
          <w:snapToGrid w:val="0"/>
          <w:color w:val="auto"/>
          <w:spacing w:val="-3"/>
          <w:sz w:val="24"/>
          <w:szCs w:val="20"/>
        </w:rPr>
      </w:pPr>
      <w:r>
        <w:rPr>
          <w:noProof/>
        </w:rPr>
        <mc:AlternateContent>
          <mc:Choice Requires="wps">
            <w:drawing>
              <wp:anchor distT="0" distB="0" distL="114300" distR="114300" simplePos="0" relativeHeight="251659264" behindDoc="1" locked="0" layoutInCell="0" allowOverlap="1" wp14:anchorId="72184FE1" wp14:editId="29BD70B6">
                <wp:simplePos x="0" y="0"/>
                <wp:positionH relativeFrom="margin">
                  <wp:posOffset>0</wp:posOffset>
                </wp:positionH>
                <wp:positionV relativeFrom="paragraph">
                  <wp:posOffset>10795</wp:posOffset>
                </wp:positionV>
                <wp:extent cx="6886575" cy="45720"/>
                <wp:effectExtent l="0" t="0" r="9525"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0;margin-top:.85pt;width:542.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" o:allowincell="f" fillcolor="black" stroked="f" strokeweight=".05pt">
                <w10:wrap anchorx="margin"/>
              </v:rect>
            </w:pict>
          </mc:Fallback>
        </mc:AlternateContent>
      </w:r>
    </w:p>
    <w:p w:rsidR="008B26CE" w:rsidRDefault="008B26CE" w:rsidP="008B26CE">
      <w:pPr>
        <w:pStyle w:val="NoSpacing"/>
        <w:rPr>
          <w:rFonts w:cs="Times New Roman"/>
          <w:b/>
          <w:sz w:val="24"/>
          <w:szCs w:val="24"/>
          <w:u w:val="single"/>
        </w:rPr>
      </w:pPr>
      <w:r>
        <w:rPr>
          <w:rFonts w:cs="Times New Roman"/>
          <w:b/>
          <w:sz w:val="24"/>
          <w:szCs w:val="24"/>
          <w:u w:val="single"/>
        </w:rPr>
        <w:t>POLICY STATEMENT</w:t>
      </w:r>
    </w:p>
    <w:p w:rsidR="008B26CE" w:rsidRDefault="008B26CE" w:rsidP="008B26CE">
      <w:pPr>
        <w:pStyle w:val="NoSpacing"/>
        <w:rPr>
          <w:rFonts w:cs="Times New Roman"/>
          <w:sz w:val="24"/>
          <w:szCs w:val="24"/>
        </w:rPr>
      </w:pPr>
    </w:p>
    <w:p w:rsidR="008B26CE" w:rsidRDefault="008B26CE" w:rsidP="008B26CE">
      <w:pPr>
        <w:pStyle w:val="NoSpacing"/>
        <w:rPr>
          <w:rFonts w:cs="Times New Roman"/>
          <w:sz w:val="24"/>
          <w:szCs w:val="24"/>
        </w:rPr>
      </w:pPr>
      <w:r>
        <w:rPr>
          <w:rFonts w:cs="Times New Roman"/>
          <w:sz w:val="24"/>
          <w:szCs w:val="24"/>
        </w:rPr>
        <w:t>Together SC generates the majority of its revenues from membership dues, conferenc</w:t>
      </w:r>
      <w:bookmarkStart w:id="0" w:name="_GoBack"/>
      <w:bookmarkEnd w:id="0"/>
      <w:r>
        <w:rPr>
          <w:rFonts w:cs="Times New Roman"/>
          <w:sz w:val="24"/>
          <w:szCs w:val="24"/>
        </w:rPr>
        <w:t>e registrations, conducting training sessions and from fees for other goods and services.  The ability for Together SC to deliver programs and services to its members and to the constituents it serves, depends on collecting these fees.  To ensure the financial sustainability of Together SC, refunds, as a matter of course, are not offered.</w:t>
      </w:r>
    </w:p>
    <w:p w:rsidR="008B26CE" w:rsidRDefault="008B26CE" w:rsidP="008B26CE">
      <w:pPr>
        <w:pStyle w:val="NoSpacing"/>
        <w:rPr>
          <w:rFonts w:cs="Times New Roman"/>
          <w:sz w:val="24"/>
          <w:szCs w:val="24"/>
        </w:rPr>
      </w:pPr>
    </w:p>
    <w:p w:rsidR="008B26CE" w:rsidRDefault="008B26CE" w:rsidP="008B26CE">
      <w:pPr>
        <w:pStyle w:val="NoSpacing"/>
        <w:rPr>
          <w:rFonts w:cs="Times New Roman"/>
          <w:b/>
          <w:sz w:val="24"/>
          <w:szCs w:val="24"/>
          <w:u w:val="single"/>
        </w:rPr>
      </w:pPr>
      <w:r>
        <w:rPr>
          <w:rFonts w:cs="Times New Roman"/>
          <w:b/>
          <w:sz w:val="24"/>
          <w:szCs w:val="24"/>
          <w:u w:val="single"/>
        </w:rPr>
        <w:t>PROCEDURES AND GUIDELINES</w:t>
      </w:r>
    </w:p>
    <w:p w:rsidR="008B26CE" w:rsidRDefault="008B26CE" w:rsidP="008B26CE">
      <w:pPr>
        <w:pStyle w:val="NoSpacing"/>
        <w:rPr>
          <w:rFonts w:cs="Times New Roman"/>
          <w:b/>
          <w:sz w:val="24"/>
          <w:szCs w:val="24"/>
          <w:u w:val="single"/>
        </w:rPr>
      </w:pPr>
    </w:p>
    <w:p w:rsidR="008B26CE" w:rsidRDefault="008B26CE" w:rsidP="008B26CE">
      <w:pPr>
        <w:pStyle w:val="NoSpacing"/>
        <w:rPr>
          <w:rFonts w:cs="Times New Roman"/>
          <w:sz w:val="24"/>
          <w:szCs w:val="24"/>
        </w:rPr>
      </w:pPr>
      <w:r>
        <w:rPr>
          <w:rFonts w:cs="Times New Roman"/>
          <w:b/>
          <w:sz w:val="24"/>
          <w:szCs w:val="24"/>
        </w:rPr>
        <w:t>Membership dues</w:t>
      </w:r>
      <w:r>
        <w:rPr>
          <w:rFonts w:cs="Times New Roman"/>
          <w:sz w:val="24"/>
          <w:szCs w:val="24"/>
        </w:rPr>
        <w:t xml:space="preserve"> rates are established annually by the Board as </w:t>
      </w:r>
      <w:proofErr w:type="gramStart"/>
      <w:r>
        <w:rPr>
          <w:rFonts w:cs="Times New Roman"/>
          <w:sz w:val="24"/>
          <w:szCs w:val="24"/>
        </w:rPr>
        <w:t>either a new or renewing member and</w:t>
      </w:r>
      <w:proofErr w:type="gramEnd"/>
      <w:r>
        <w:rPr>
          <w:rFonts w:cs="Times New Roman"/>
          <w:sz w:val="24"/>
          <w:szCs w:val="24"/>
        </w:rPr>
        <w:t xml:space="preserve"> are payable in full</w:t>
      </w:r>
      <w:r>
        <w:rPr>
          <w:rFonts w:cs="Times New Roman"/>
          <w:b/>
          <w:sz w:val="24"/>
          <w:szCs w:val="24"/>
        </w:rPr>
        <w:t>.  Payments made for membership dues are not refundable</w:t>
      </w:r>
      <w:r>
        <w:rPr>
          <w:rFonts w:cs="Times New Roman"/>
          <w:sz w:val="24"/>
          <w:szCs w:val="24"/>
        </w:rPr>
        <w:t>.</w:t>
      </w:r>
    </w:p>
    <w:p w:rsidR="008B26CE" w:rsidRDefault="008B26CE" w:rsidP="008B26CE">
      <w:pPr>
        <w:pStyle w:val="NoSpacing"/>
        <w:rPr>
          <w:rFonts w:cs="Times New Roman"/>
          <w:sz w:val="24"/>
          <w:szCs w:val="24"/>
        </w:rPr>
      </w:pPr>
    </w:p>
    <w:p w:rsidR="008B26CE" w:rsidRDefault="008B26CE" w:rsidP="008B26CE">
      <w:pPr>
        <w:pStyle w:val="NoSpacing"/>
        <w:rPr>
          <w:rFonts w:cs="Times New Roman"/>
          <w:sz w:val="24"/>
          <w:szCs w:val="24"/>
        </w:rPr>
      </w:pPr>
      <w:r>
        <w:rPr>
          <w:rFonts w:cs="Times New Roman"/>
          <w:b/>
          <w:sz w:val="24"/>
          <w:szCs w:val="24"/>
        </w:rPr>
        <w:t>Annual Conference</w:t>
      </w:r>
      <w:r>
        <w:rPr>
          <w:rFonts w:cs="Times New Roman"/>
          <w:sz w:val="24"/>
          <w:szCs w:val="24"/>
        </w:rPr>
        <w:t xml:space="preserve"> dates and registration fees are established each year well in advance of the conference.  Requests for refunds must be made in writing via e-mail, fax or US mail.  Requests for refunds must be received at least 30 days prior to the conference.  A $25 fee will be incurred.  There will be no refunds for cancellation after 30 days or for “No Shows”.  Substitutions may be made by submitting documentation stating the name of the person and the reason for the substitution.  A $25 administration fee will be incurred for substitutions and is payable on or before the day of the conference.</w:t>
      </w:r>
    </w:p>
    <w:p w:rsidR="008B26CE" w:rsidRDefault="008B26CE" w:rsidP="008B26CE">
      <w:pPr>
        <w:pStyle w:val="NoSpacing"/>
        <w:rPr>
          <w:rFonts w:cs="Times New Roman"/>
          <w:sz w:val="24"/>
          <w:szCs w:val="24"/>
        </w:rPr>
      </w:pPr>
    </w:p>
    <w:p w:rsidR="0034619D" w:rsidRDefault="008B26CE" w:rsidP="008B26CE">
      <w:pPr>
        <w:pStyle w:val="NoSpacing"/>
      </w:pPr>
      <w:r>
        <w:rPr>
          <w:rFonts w:cs="Times New Roman"/>
          <w:b/>
          <w:sz w:val="24"/>
          <w:szCs w:val="24"/>
        </w:rPr>
        <w:t>Together SC Training Sessions</w:t>
      </w:r>
      <w:r>
        <w:rPr>
          <w:rFonts w:cs="Times New Roman"/>
          <w:sz w:val="24"/>
          <w:szCs w:val="24"/>
        </w:rPr>
        <w:t xml:space="preserve"> require advance registration.  Fees are included in the announcement.  Fees are paid in advance of each training session for each individual participant.  Refunds are not offered.  In the event Together SC cancels a training session, full refunds will be issued to every organization for the number of people registered.</w:t>
      </w:r>
    </w:p>
    <w:sectPr w:rsidR="0034619D" w:rsidSect="008B2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CE"/>
    <w:rsid w:val="00043333"/>
    <w:rsid w:val="0034619D"/>
    <w:rsid w:val="008B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C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6CE"/>
    <w:pPr>
      <w:spacing w:after="0" w:line="240" w:lineRule="auto"/>
    </w:pPr>
  </w:style>
  <w:style w:type="paragraph" w:styleId="BalloonText">
    <w:name w:val="Balloon Text"/>
    <w:basedOn w:val="Normal"/>
    <w:link w:val="BalloonTextChar"/>
    <w:uiPriority w:val="99"/>
    <w:semiHidden/>
    <w:unhideWhenUsed/>
    <w:rsid w:val="008B2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CE"/>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C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6CE"/>
    <w:pPr>
      <w:spacing w:after="0" w:line="240" w:lineRule="auto"/>
    </w:pPr>
  </w:style>
  <w:style w:type="paragraph" w:styleId="BalloonText">
    <w:name w:val="Balloon Text"/>
    <w:basedOn w:val="Normal"/>
    <w:link w:val="BalloonTextChar"/>
    <w:uiPriority w:val="99"/>
    <w:semiHidden/>
    <w:unhideWhenUsed/>
    <w:rsid w:val="008B2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CE"/>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Way of SC</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Bullock</dc:creator>
  <cp:lastModifiedBy>Benjamin Bullock</cp:lastModifiedBy>
  <cp:revision>2</cp:revision>
  <dcterms:created xsi:type="dcterms:W3CDTF">2017-06-30T13:12:00Z</dcterms:created>
  <dcterms:modified xsi:type="dcterms:W3CDTF">2017-08-24T16:33:00Z</dcterms:modified>
</cp:coreProperties>
</file>