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A46A" w14:textId="77777777" w:rsidR="00183BF2" w:rsidRPr="00183BF2" w:rsidRDefault="00183BF2" w:rsidP="00AF1084">
      <w:pPr>
        <w:pStyle w:val="Heading1"/>
        <w:jc w:val="center"/>
        <w:rPr>
          <w:snapToGrid w:val="0"/>
        </w:rPr>
      </w:pPr>
      <w:bookmarkStart w:id="0" w:name="_GoBack"/>
      <w:bookmarkEnd w:id="0"/>
      <w:r w:rsidRPr="00183BF2">
        <w:rPr>
          <w:noProof/>
        </w:rPr>
        <w:drawing>
          <wp:inline distT="0" distB="0" distL="0" distR="0" wp14:anchorId="507FB0C9" wp14:editId="4DADDFCB">
            <wp:extent cx="4498982" cy="10287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82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54807" w14:textId="77777777" w:rsidR="00183BF2" w:rsidRPr="00183BF2" w:rsidRDefault="00183BF2" w:rsidP="00183BF2">
      <w:pPr>
        <w:widowControl w:val="0"/>
        <w:tabs>
          <w:tab w:val="left" w:pos="0"/>
        </w:tabs>
        <w:suppressAutoHyphens/>
        <w:rPr>
          <w:rFonts w:ascii="Calibri" w:eastAsia="Times New Roman" w:hAnsi="Calibri" w:cs="Times New Roman"/>
          <w:b/>
          <w:snapToGrid w:val="0"/>
          <w:szCs w:val="20"/>
        </w:rPr>
      </w:pPr>
      <w:r w:rsidRPr="00183BF2">
        <w:rPr>
          <w:rFonts w:ascii="Calibri" w:eastAsia="Times New Roman" w:hAnsi="Calibri" w:cs="Times New Roman"/>
          <w:b/>
          <w:snapToGrid w:val="0"/>
          <w:szCs w:val="20"/>
        </w:rPr>
        <w:t xml:space="preserve">POLICY CATEGORY:  </w:t>
      </w:r>
      <w:r w:rsidRPr="00183BF2">
        <w:rPr>
          <w:rFonts w:ascii="Calibri" w:eastAsia="Times New Roman" w:hAnsi="Calibri" w:cs="Times New Roman"/>
          <w:b/>
          <w:snapToGrid w:val="0"/>
          <w:szCs w:val="20"/>
        </w:rPr>
        <w:tab/>
        <w:t>4.</w:t>
      </w:r>
      <w:r w:rsidRPr="00183BF2">
        <w:rPr>
          <w:rFonts w:ascii="Calibri" w:eastAsia="Times New Roman" w:hAnsi="Calibri" w:cs="Times New Roman"/>
          <w:b/>
          <w:snapToGrid w:val="0"/>
          <w:szCs w:val="20"/>
        </w:rPr>
        <w:tab/>
        <w:t>DAILY OPERATIONS</w:t>
      </w:r>
    </w:p>
    <w:p w14:paraId="4EB9265C" w14:textId="17F007F9" w:rsidR="00183BF2" w:rsidRPr="00183BF2" w:rsidRDefault="00183BF2" w:rsidP="00183BF2">
      <w:pPr>
        <w:widowControl w:val="0"/>
        <w:tabs>
          <w:tab w:val="left" w:pos="0"/>
        </w:tabs>
        <w:suppressAutoHyphens/>
        <w:rPr>
          <w:rFonts w:ascii="Calibri" w:eastAsia="Times New Roman" w:hAnsi="Calibri" w:cs="Times New Roman"/>
          <w:b/>
          <w:snapToGrid w:val="0"/>
          <w:szCs w:val="20"/>
        </w:rPr>
      </w:pPr>
      <w:r w:rsidRPr="00183BF2">
        <w:rPr>
          <w:rFonts w:ascii="Calibri" w:eastAsia="Times New Roman" w:hAnsi="Calibri" w:cs="Times New Roman"/>
          <w:b/>
          <w:snapToGrid w:val="0"/>
          <w:szCs w:val="20"/>
        </w:rPr>
        <w:t xml:space="preserve">POLICY TYPE: </w:t>
      </w:r>
      <w:r w:rsidRPr="00183BF2">
        <w:rPr>
          <w:rFonts w:ascii="Calibri" w:eastAsia="Times New Roman" w:hAnsi="Calibri" w:cs="Times New Roman"/>
          <w:b/>
          <w:snapToGrid w:val="0"/>
          <w:szCs w:val="20"/>
        </w:rPr>
        <w:tab/>
      </w:r>
      <w:r w:rsidRPr="00183BF2">
        <w:rPr>
          <w:rFonts w:ascii="Calibri" w:eastAsia="Times New Roman" w:hAnsi="Calibri" w:cs="Times New Roman"/>
          <w:b/>
          <w:snapToGrid w:val="0"/>
          <w:szCs w:val="20"/>
        </w:rPr>
        <w:tab/>
        <w:t>4.</w:t>
      </w:r>
      <w:r w:rsidR="00367D14">
        <w:rPr>
          <w:rFonts w:ascii="Calibri" w:eastAsia="Times New Roman" w:hAnsi="Calibri" w:cs="Times New Roman"/>
          <w:b/>
          <w:snapToGrid w:val="0"/>
          <w:szCs w:val="20"/>
        </w:rPr>
        <w:t>D</w:t>
      </w:r>
      <w:r w:rsidRPr="00183BF2">
        <w:rPr>
          <w:rFonts w:ascii="Calibri" w:eastAsia="Times New Roman" w:hAnsi="Calibri" w:cs="Times New Roman"/>
          <w:b/>
          <w:snapToGrid w:val="0"/>
          <w:szCs w:val="20"/>
        </w:rPr>
        <w:t>.</w:t>
      </w:r>
      <w:r w:rsidRPr="00183BF2">
        <w:rPr>
          <w:rFonts w:ascii="Calibri" w:eastAsia="Times New Roman" w:hAnsi="Calibri" w:cs="Times New Roman"/>
          <w:b/>
          <w:snapToGrid w:val="0"/>
          <w:szCs w:val="20"/>
        </w:rPr>
        <w:tab/>
      </w:r>
      <w:r w:rsidR="00367D14">
        <w:rPr>
          <w:rFonts w:ascii="Calibri" w:eastAsia="Times New Roman" w:hAnsi="Calibri" w:cs="Times New Roman"/>
          <w:b/>
          <w:snapToGrid w:val="0"/>
          <w:szCs w:val="20"/>
        </w:rPr>
        <w:t>FUNDRAISING</w:t>
      </w:r>
    </w:p>
    <w:p w14:paraId="30016DE4" w14:textId="1E3D7A1C" w:rsidR="00183BF2" w:rsidRPr="00183BF2" w:rsidRDefault="00183BF2" w:rsidP="00183BF2">
      <w:pPr>
        <w:widowControl w:val="0"/>
        <w:suppressAutoHyphens/>
        <w:rPr>
          <w:rFonts w:ascii="Calibri" w:eastAsia="Times New Roman" w:hAnsi="Calibri" w:cs="Times New Roman"/>
          <w:b/>
          <w:i/>
          <w:snapToGrid w:val="0"/>
          <w:spacing w:val="-3"/>
          <w:szCs w:val="20"/>
        </w:rPr>
      </w:pPr>
      <w:r w:rsidRPr="00183BF2">
        <w:rPr>
          <w:rFonts w:ascii="Calibri" w:eastAsia="Times New Roman" w:hAnsi="Calibri" w:cs="Times New Roman"/>
          <w:b/>
          <w:snapToGrid w:val="0"/>
          <w:spacing w:val="-3"/>
          <w:szCs w:val="20"/>
        </w:rPr>
        <w:t xml:space="preserve">POLICY TITLE:  </w:t>
      </w:r>
      <w:r w:rsidRPr="00183BF2">
        <w:rPr>
          <w:rFonts w:ascii="Calibri" w:eastAsia="Times New Roman" w:hAnsi="Calibri" w:cs="Times New Roman"/>
          <w:b/>
          <w:snapToGrid w:val="0"/>
          <w:spacing w:val="-3"/>
          <w:szCs w:val="20"/>
        </w:rPr>
        <w:tab/>
      </w:r>
      <w:r w:rsidRPr="00183BF2">
        <w:rPr>
          <w:rFonts w:ascii="Calibri" w:eastAsia="Times New Roman" w:hAnsi="Calibri" w:cs="Times New Roman"/>
          <w:b/>
          <w:snapToGrid w:val="0"/>
          <w:spacing w:val="-3"/>
          <w:szCs w:val="20"/>
        </w:rPr>
        <w:tab/>
        <w:t>4.</w:t>
      </w:r>
      <w:r w:rsidR="00DA084F">
        <w:rPr>
          <w:rFonts w:ascii="Calibri" w:eastAsia="Times New Roman" w:hAnsi="Calibri" w:cs="Times New Roman"/>
          <w:b/>
          <w:snapToGrid w:val="0"/>
          <w:spacing w:val="-3"/>
          <w:szCs w:val="20"/>
        </w:rPr>
        <w:t>D</w:t>
      </w:r>
      <w:r w:rsidRPr="00183BF2">
        <w:rPr>
          <w:rFonts w:ascii="Calibri" w:eastAsia="Times New Roman" w:hAnsi="Calibri" w:cs="Times New Roman"/>
          <w:b/>
          <w:snapToGrid w:val="0"/>
          <w:spacing w:val="-3"/>
          <w:szCs w:val="20"/>
        </w:rPr>
        <w:t>.</w:t>
      </w:r>
      <w:r w:rsidR="00367D14">
        <w:rPr>
          <w:rFonts w:ascii="Calibri" w:eastAsia="Times New Roman" w:hAnsi="Calibri" w:cs="Times New Roman"/>
          <w:b/>
          <w:snapToGrid w:val="0"/>
          <w:spacing w:val="-3"/>
          <w:szCs w:val="20"/>
        </w:rPr>
        <w:t>1</w:t>
      </w:r>
      <w:r w:rsidRPr="00183BF2">
        <w:rPr>
          <w:rFonts w:ascii="Calibri" w:eastAsia="Times New Roman" w:hAnsi="Calibri" w:cs="Times New Roman"/>
          <w:b/>
          <w:snapToGrid w:val="0"/>
          <w:spacing w:val="-3"/>
          <w:szCs w:val="20"/>
        </w:rPr>
        <w:t>.</w:t>
      </w:r>
      <w:r w:rsidRPr="00183BF2">
        <w:rPr>
          <w:rFonts w:ascii="Calibri" w:eastAsia="Times New Roman" w:hAnsi="Calibri" w:cs="Times New Roman"/>
          <w:b/>
          <w:snapToGrid w:val="0"/>
          <w:spacing w:val="-3"/>
          <w:szCs w:val="20"/>
        </w:rPr>
        <w:tab/>
      </w:r>
      <w:r w:rsidR="00AF2BE6">
        <w:rPr>
          <w:rFonts w:ascii="Calibri" w:eastAsia="Times New Roman" w:hAnsi="Calibri" w:cs="Times New Roman"/>
          <w:b/>
          <w:i/>
          <w:snapToGrid w:val="0"/>
          <w:spacing w:val="-3"/>
          <w:szCs w:val="20"/>
        </w:rPr>
        <w:t>General</w:t>
      </w:r>
      <w:r w:rsidR="00367D14">
        <w:rPr>
          <w:rFonts w:ascii="Calibri" w:eastAsia="Times New Roman" w:hAnsi="Calibri" w:cs="Times New Roman"/>
          <w:b/>
          <w:i/>
          <w:snapToGrid w:val="0"/>
          <w:spacing w:val="-3"/>
          <w:szCs w:val="20"/>
        </w:rPr>
        <w:t xml:space="preserve"> Fundraising</w:t>
      </w:r>
      <w:r w:rsidR="00AF2BE6">
        <w:rPr>
          <w:rFonts w:ascii="Calibri" w:eastAsia="Times New Roman" w:hAnsi="Calibri" w:cs="Times New Roman"/>
          <w:b/>
          <w:i/>
          <w:snapToGrid w:val="0"/>
          <w:spacing w:val="-3"/>
          <w:szCs w:val="20"/>
        </w:rPr>
        <w:t xml:space="preserve"> Policy</w:t>
      </w:r>
    </w:p>
    <w:p w14:paraId="41E18ED5" w14:textId="1C46EE54" w:rsidR="00183BF2" w:rsidRPr="00183BF2" w:rsidRDefault="00DA084F" w:rsidP="00183BF2">
      <w:pPr>
        <w:widowControl w:val="0"/>
        <w:suppressAutoHyphens/>
        <w:jc w:val="right"/>
        <w:rPr>
          <w:rFonts w:ascii="Calibri" w:eastAsia="Times New Roman" w:hAnsi="Calibri" w:cs="Times New Roman"/>
          <w:snapToGrid w:val="0"/>
          <w:spacing w:val="-3"/>
          <w:szCs w:val="20"/>
        </w:rPr>
      </w:pPr>
      <w:r>
        <w:rPr>
          <w:rFonts w:ascii="Calibri" w:eastAsia="Times New Roman" w:hAnsi="Calibri" w:cs="Times New Roman"/>
          <w:snapToGrid w:val="0"/>
          <w:spacing w:val="-3"/>
          <w:szCs w:val="20"/>
        </w:rPr>
        <w:t>Approved by Board of Directors 6/25/19</w:t>
      </w:r>
    </w:p>
    <w:p w14:paraId="05315467" w14:textId="77777777" w:rsidR="00183BF2" w:rsidRPr="00183BF2" w:rsidRDefault="00183BF2" w:rsidP="00183BF2">
      <w:pPr>
        <w:widowControl w:val="0"/>
        <w:tabs>
          <w:tab w:val="left" w:pos="0"/>
        </w:tabs>
        <w:suppressAutoHyphens/>
        <w:jc w:val="both"/>
        <w:rPr>
          <w:rFonts w:ascii="Calibri" w:eastAsia="Times New Roman" w:hAnsi="Calibri" w:cs="Times New Roman"/>
          <w:snapToGrid w:val="0"/>
          <w:spacing w:val="-3"/>
          <w:szCs w:val="20"/>
        </w:rPr>
      </w:pPr>
      <w:r w:rsidRPr="00183BF2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26F413F" wp14:editId="2126C0D7">
                <wp:simplePos x="0" y="0"/>
                <wp:positionH relativeFrom="margin">
                  <wp:posOffset>0</wp:posOffset>
                </wp:positionH>
                <wp:positionV relativeFrom="paragraph">
                  <wp:posOffset>10795</wp:posOffset>
                </wp:positionV>
                <wp:extent cx="6886575" cy="45720"/>
                <wp:effectExtent l="0" t="0" r="9525" b="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F3DA21" id="Rectangle 37" o:spid="_x0000_s1026" style="position:absolute;margin-left:0;margin-top:.85pt;width:542.25pt;height:3.6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" o:allowincell="f" fillcolor="black" stroked="f" strokeweight=".05pt">
                <w10:wrap anchorx="margin"/>
              </v:rect>
            </w:pict>
          </mc:Fallback>
        </mc:AlternateContent>
      </w:r>
    </w:p>
    <w:p w14:paraId="13A76FC3" w14:textId="5DA4B33E" w:rsidR="00183BF2" w:rsidRDefault="00AF2BE6" w:rsidP="00183BF2">
      <w:pPr>
        <w:rPr>
          <w:rFonts w:asciiTheme="majorHAnsi" w:hAnsiTheme="majorHAnsi" w:cs="Tahoma"/>
        </w:rPr>
      </w:pPr>
      <w:r w:rsidRPr="00AF2BE6">
        <w:rPr>
          <w:rFonts w:asciiTheme="majorHAnsi" w:hAnsiTheme="majorHAnsi" w:cs="Tahoma"/>
          <w:b/>
          <w:u w:val="single"/>
        </w:rPr>
        <w:t>Purpose</w:t>
      </w:r>
      <w:r w:rsidR="00183BF2" w:rsidRPr="00183BF2">
        <w:rPr>
          <w:rFonts w:asciiTheme="majorHAnsi" w:hAnsiTheme="majorHAnsi" w:cs="Tahoma"/>
          <w:b/>
        </w:rPr>
        <w:t>:</w:t>
      </w:r>
      <w:r w:rsidR="00183BF2" w:rsidRPr="00183BF2">
        <w:rPr>
          <w:rFonts w:asciiTheme="majorHAnsi" w:hAnsiTheme="majorHAnsi" w:cs="Tahoma"/>
        </w:rPr>
        <w:t xml:space="preserve">  To provide written policies and procedures regarding</w:t>
      </w:r>
      <w:r>
        <w:rPr>
          <w:rFonts w:asciiTheme="majorHAnsi" w:hAnsiTheme="majorHAnsi" w:cs="Tahoma"/>
        </w:rPr>
        <w:t xml:space="preserve"> fund</w:t>
      </w:r>
      <w:r w:rsidR="00183BF2" w:rsidRPr="00183BF2">
        <w:rPr>
          <w:rFonts w:asciiTheme="majorHAnsi" w:hAnsiTheme="majorHAnsi" w:cs="Tahoma"/>
        </w:rPr>
        <w:t xml:space="preserve"> development activities which adhere to ethical fundraising practices and enhance relations with donors and funders as well as improving development staff efficiency and effectiveness.</w:t>
      </w:r>
      <w:r w:rsidR="00030BF6">
        <w:rPr>
          <w:rFonts w:asciiTheme="majorHAnsi" w:hAnsiTheme="majorHAnsi" w:cs="Tahoma"/>
        </w:rPr>
        <w:t xml:space="preserve">  </w:t>
      </w:r>
      <w:r>
        <w:rPr>
          <w:rFonts w:asciiTheme="majorHAnsi" w:hAnsiTheme="majorHAnsi" w:cs="Tahoma"/>
        </w:rPr>
        <w:t>The Board requires the President to ensure that sound</w:t>
      </w:r>
      <w:r w:rsidR="00FA5917">
        <w:rPr>
          <w:rFonts w:asciiTheme="majorHAnsi" w:hAnsiTheme="majorHAnsi" w:cs="Tahoma"/>
        </w:rPr>
        <w:t xml:space="preserve"> and ethical</w:t>
      </w:r>
      <w:r>
        <w:rPr>
          <w:rFonts w:asciiTheme="majorHAnsi" w:hAnsiTheme="majorHAnsi" w:cs="Tahoma"/>
        </w:rPr>
        <w:t xml:space="preserve"> fundraising policies exist for staff and volunteers to ensure that accepted gifts are appropriate for the organization’s mission and strategic priorities, and to ensure that donor/funder expectations are fulfilled.</w:t>
      </w:r>
      <w:r w:rsidR="00FA5917">
        <w:rPr>
          <w:rFonts w:asciiTheme="majorHAnsi" w:hAnsiTheme="majorHAnsi" w:cs="Tahoma"/>
        </w:rPr>
        <w:t xml:space="preserve"> This Policy does not apply to earned revenue</w:t>
      </w:r>
      <w:r w:rsidR="00A06235">
        <w:rPr>
          <w:rFonts w:asciiTheme="majorHAnsi" w:hAnsiTheme="majorHAnsi" w:cs="Tahoma"/>
        </w:rPr>
        <w:t xml:space="preserve"> generation</w:t>
      </w:r>
      <w:r w:rsidR="00FA5917">
        <w:rPr>
          <w:rFonts w:asciiTheme="majorHAnsi" w:hAnsiTheme="majorHAnsi" w:cs="Tahoma"/>
        </w:rPr>
        <w:t xml:space="preserve"> such as member dues or fees from contracts or events.</w:t>
      </w:r>
    </w:p>
    <w:p w14:paraId="6925BAE8" w14:textId="77777777" w:rsidR="00AF2BE6" w:rsidRDefault="00AF2BE6" w:rsidP="00183BF2">
      <w:pPr>
        <w:rPr>
          <w:rFonts w:asciiTheme="majorHAnsi" w:hAnsiTheme="majorHAnsi" w:cs="Tahoma"/>
        </w:rPr>
      </w:pPr>
    </w:p>
    <w:p w14:paraId="7BE7FE36" w14:textId="6831D44B" w:rsidR="00AF2BE6" w:rsidRPr="00AF2BE6" w:rsidRDefault="00AF2BE6" w:rsidP="00183BF2">
      <w:pPr>
        <w:rPr>
          <w:rFonts w:asciiTheme="majorHAnsi" w:hAnsiTheme="majorHAnsi" w:cs="Tahoma"/>
        </w:rPr>
      </w:pPr>
      <w:r w:rsidRPr="00AF2BE6">
        <w:rPr>
          <w:rFonts w:asciiTheme="majorHAnsi" w:hAnsiTheme="majorHAnsi" w:cs="Tahoma"/>
          <w:b/>
          <w:u w:val="single"/>
        </w:rPr>
        <w:t>Incorporation of Ethical</w:t>
      </w:r>
      <w:r w:rsidR="00FA5917">
        <w:rPr>
          <w:rFonts w:asciiTheme="majorHAnsi" w:hAnsiTheme="majorHAnsi" w:cs="Tahoma"/>
          <w:b/>
          <w:u w:val="single"/>
        </w:rPr>
        <w:t xml:space="preserve"> and Legal</w:t>
      </w:r>
      <w:r w:rsidRPr="00AF2BE6">
        <w:rPr>
          <w:rFonts w:asciiTheme="majorHAnsi" w:hAnsiTheme="majorHAnsi" w:cs="Tahoma"/>
          <w:b/>
          <w:u w:val="single"/>
        </w:rPr>
        <w:t xml:space="preserve"> Standards</w:t>
      </w:r>
      <w:r w:rsidRPr="00AF2BE6">
        <w:rPr>
          <w:rFonts w:asciiTheme="majorHAnsi" w:hAnsiTheme="majorHAnsi" w:cs="Tahoma"/>
          <w:b/>
        </w:rPr>
        <w:t>:</w:t>
      </w:r>
      <w:r>
        <w:rPr>
          <w:rFonts w:asciiTheme="majorHAnsi" w:hAnsiTheme="majorHAnsi" w:cs="Tahoma"/>
          <w:b/>
          <w:u w:val="single"/>
        </w:rPr>
        <w:t xml:space="preserve"> </w:t>
      </w:r>
      <w:r>
        <w:rPr>
          <w:rFonts w:asciiTheme="majorHAnsi" w:hAnsiTheme="majorHAnsi" w:cs="Tahoma"/>
        </w:rPr>
        <w:t xml:space="preserve">Together SC adheres to standards set by the Association of Fundraising Professionals (AFP) in the AFP Code of Ethics and </w:t>
      </w:r>
      <w:r w:rsidR="00744C31">
        <w:rPr>
          <w:rFonts w:asciiTheme="majorHAnsi" w:hAnsiTheme="majorHAnsi" w:cs="Tahoma"/>
        </w:rPr>
        <w:t xml:space="preserve">AFP Donor Bill of Rights. </w:t>
      </w:r>
      <w:r w:rsidR="00FA5917">
        <w:rPr>
          <w:rFonts w:asciiTheme="majorHAnsi" w:hAnsiTheme="majorHAnsi" w:cs="Tahoma"/>
        </w:rPr>
        <w:t>All fundraising, receipts, and acknowledgements must be in compliance with State and Federal Laws and Regulations.</w:t>
      </w:r>
      <w:r w:rsidR="00E13586">
        <w:rPr>
          <w:rFonts w:asciiTheme="majorHAnsi" w:hAnsiTheme="majorHAnsi" w:cs="Tahoma"/>
        </w:rPr>
        <w:t xml:space="preserve"> Together SC’s Solicitation of Charitable Funds Statement must be kept current with the SC Secretary of State’s office</w:t>
      </w:r>
      <w:r w:rsidR="00DA084F">
        <w:rPr>
          <w:rFonts w:asciiTheme="majorHAnsi" w:hAnsiTheme="majorHAnsi" w:cs="Tahoma"/>
        </w:rPr>
        <w:t>, and with any other state in which Together SC meets the requirements for filing</w:t>
      </w:r>
      <w:r w:rsidR="00E13586">
        <w:rPr>
          <w:rFonts w:asciiTheme="majorHAnsi" w:hAnsiTheme="majorHAnsi" w:cs="Tahoma"/>
        </w:rPr>
        <w:t>.</w:t>
      </w:r>
    </w:p>
    <w:p w14:paraId="0E105907" w14:textId="77777777" w:rsidR="00AF2BE6" w:rsidRDefault="00AF2BE6" w:rsidP="00183BF2">
      <w:pPr>
        <w:rPr>
          <w:rFonts w:asciiTheme="majorHAnsi" w:hAnsiTheme="majorHAnsi" w:cs="Tahoma"/>
        </w:rPr>
      </w:pPr>
    </w:p>
    <w:p w14:paraId="5648ABF5" w14:textId="77777777" w:rsidR="00C52DEA" w:rsidRPr="00C52DEA" w:rsidRDefault="00C52DEA" w:rsidP="00C52DEA">
      <w:pPr>
        <w:rPr>
          <w:rFonts w:ascii="Calibri" w:eastAsia="Times New Roman" w:hAnsi="Calibri" w:cs="Times New Roman"/>
          <w:b/>
          <w:u w:val="single"/>
        </w:rPr>
      </w:pPr>
      <w:r w:rsidRPr="00C52DEA">
        <w:rPr>
          <w:rFonts w:ascii="Calibri" w:eastAsia="Times New Roman" w:hAnsi="Calibri" w:cs="Times New Roman"/>
          <w:b/>
          <w:u w:val="single"/>
        </w:rPr>
        <w:t>Staff Policies Required</w:t>
      </w:r>
      <w:r w:rsidRPr="00C52DEA">
        <w:rPr>
          <w:rFonts w:ascii="Calibri" w:eastAsia="Times New Roman" w:hAnsi="Calibri" w:cs="Times New Roman"/>
          <w:b/>
        </w:rPr>
        <w:t>:</w:t>
      </w:r>
    </w:p>
    <w:p w14:paraId="5348D2B7" w14:textId="7907378B" w:rsidR="00C52DEA" w:rsidRPr="00C52DEA" w:rsidRDefault="00C52DEA" w:rsidP="00FA5917">
      <w:pPr>
        <w:rPr>
          <w:rFonts w:ascii="Calibri" w:eastAsia="Times New Roman" w:hAnsi="Calibri" w:cs="Times New Roman"/>
          <w:b/>
        </w:rPr>
      </w:pPr>
      <w:r w:rsidRPr="00C52DEA">
        <w:rPr>
          <w:rFonts w:ascii="Calibri" w:eastAsia="Times New Roman" w:hAnsi="Calibri" w:cs="Times New Roman"/>
        </w:rPr>
        <w:t>The President is responsible for</w:t>
      </w:r>
      <w:r w:rsidR="00FA5917">
        <w:rPr>
          <w:rFonts w:ascii="Calibri" w:eastAsia="Times New Roman" w:hAnsi="Calibri" w:cs="Times New Roman"/>
        </w:rPr>
        <w:t xml:space="preserve"> e</w:t>
      </w:r>
      <w:r w:rsidRPr="00C52DEA">
        <w:rPr>
          <w:rFonts w:ascii="Calibri" w:eastAsia="Times New Roman" w:hAnsi="Calibri" w:cs="Times New Roman"/>
        </w:rPr>
        <w:t xml:space="preserve">nsuring </w:t>
      </w:r>
      <w:r>
        <w:rPr>
          <w:rFonts w:ascii="Calibri" w:eastAsia="Times New Roman" w:hAnsi="Calibri" w:cs="Times New Roman"/>
        </w:rPr>
        <w:t>fundraising</w:t>
      </w:r>
      <w:r w:rsidRPr="00C52DEA">
        <w:rPr>
          <w:rFonts w:ascii="Calibri" w:eastAsia="Times New Roman" w:hAnsi="Calibri" w:cs="Times New Roman"/>
        </w:rPr>
        <w:t xml:space="preserve"> policies and procedures are disseminated and implemented.  The Board requires that these policies include:</w:t>
      </w:r>
    </w:p>
    <w:p w14:paraId="2BC89D95" w14:textId="77777777" w:rsidR="00C52DEA" w:rsidRPr="00C52DEA" w:rsidRDefault="00C52DEA" w:rsidP="00C52DEA">
      <w:pPr>
        <w:numPr>
          <w:ilvl w:val="1"/>
          <w:numId w:val="2"/>
        </w:numPr>
        <w:spacing w:after="200" w:line="276" w:lineRule="auto"/>
        <w:ind w:left="720"/>
        <w:contextualSpacing/>
        <w:rPr>
          <w:rFonts w:ascii="Calibri" w:eastAsia="Times New Roman" w:hAnsi="Calibri" w:cs="Times New Roman"/>
        </w:rPr>
      </w:pPr>
      <w:r w:rsidRPr="00C52DEA">
        <w:rPr>
          <w:rFonts w:ascii="Calibri" w:eastAsia="Times New Roman" w:hAnsi="Calibri" w:cs="Times New Roman"/>
        </w:rPr>
        <w:t>Policies requiring review and approval of the Governance Committee:</w:t>
      </w:r>
    </w:p>
    <w:p w14:paraId="4EB79DE7" w14:textId="7894E7E4" w:rsidR="00C52DEA" w:rsidRPr="00C52DEA" w:rsidRDefault="00C52DEA" w:rsidP="00C52DEA">
      <w:pPr>
        <w:numPr>
          <w:ilvl w:val="2"/>
          <w:numId w:val="2"/>
        </w:numPr>
        <w:spacing w:after="200" w:line="276" w:lineRule="auto"/>
        <w:ind w:left="1080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Gift Acceptance &amp; Values Congruence</w:t>
      </w:r>
    </w:p>
    <w:p w14:paraId="75319117" w14:textId="77777777" w:rsidR="00C52DEA" w:rsidRPr="00C52DEA" w:rsidRDefault="00C52DEA" w:rsidP="00C52DEA">
      <w:pPr>
        <w:numPr>
          <w:ilvl w:val="1"/>
          <w:numId w:val="2"/>
        </w:numPr>
        <w:spacing w:after="200" w:line="276" w:lineRule="auto"/>
        <w:ind w:left="720"/>
        <w:contextualSpacing/>
        <w:rPr>
          <w:rFonts w:ascii="Calibri" w:eastAsia="Times New Roman" w:hAnsi="Calibri" w:cs="Times New Roman"/>
        </w:rPr>
      </w:pPr>
      <w:r w:rsidRPr="00C52DEA">
        <w:rPr>
          <w:rFonts w:ascii="Calibri" w:eastAsia="Times New Roman" w:hAnsi="Calibri" w:cs="Times New Roman"/>
        </w:rPr>
        <w:t>Policies requiring review and approval of the Finance Committee:</w:t>
      </w:r>
    </w:p>
    <w:p w14:paraId="099807F6" w14:textId="1D5CD232" w:rsidR="00C52DEA" w:rsidRPr="00C52DEA" w:rsidRDefault="00FA5917" w:rsidP="00C52DEA">
      <w:pPr>
        <w:numPr>
          <w:ilvl w:val="2"/>
          <w:numId w:val="2"/>
        </w:numPr>
        <w:spacing w:after="200" w:line="276" w:lineRule="auto"/>
        <w:ind w:left="1080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In-Kind Gifts</w:t>
      </w:r>
    </w:p>
    <w:p w14:paraId="539E9B97" w14:textId="77777777" w:rsidR="00C52DEA" w:rsidRPr="00C52DEA" w:rsidRDefault="00C52DEA" w:rsidP="00C52DEA">
      <w:pPr>
        <w:numPr>
          <w:ilvl w:val="1"/>
          <w:numId w:val="2"/>
        </w:numPr>
        <w:spacing w:after="200" w:line="276" w:lineRule="auto"/>
        <w:ind w:left="720"/>
        <w:contextualSpacing/>
        <w:rPr>
          <w:rFonts w:ascii="Calibri" w:eastAsia="Times New Roman" w:hAnsi="Calibri" w:cs="Times New Roman"/>
        </w:rPr>
      </w:pPr>
      <w:r w:rsidRPr="00C52DEA">
        <w:rPr>
          <w:rFonts w:ascii="Calibri" w:eastAsia="Times New Roman" w:hAnsi="Calibri" w:cs="Times New Roman"/>
        </w:rPr>
        <w:t>Policies requiring no Committee review and approval.</w:t>
      </w:r>
    </w:p>
    <w:p w14:paraId="6BD9758A" w14:textId="4F13A977" w:rsidR="00C52DEA" w:rsidRDefault="00C52DEA" w:rsidP="00C52DEA">
      <w:pPr>
        <w:numPr>
          <w:ilvl w:val="2"/>
          <w:numId w:val="2"/>
        </w:numPr>
        <w:spacing w:after="200" w:line="276" w:lineRule="auto"/>
        <w:ind w:left="1080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Solicitation of Funds</w:t>
      </w:r>
      <w:r w:rsidR="00FA5917">
        <w:rPr>
          <w:rFonts w:ascii="Calibri" w:eastAsia="Times New Roman" w:hAnsi="Calibri" w:cs="Times New Roman"/>
        </w:rPr>
        <w:t xml:space="preserve"> / Direct Fundraising</w:t>
      </w:r>
    </w:p>
    <w:p w14:paraId="107F26A6" w14:textId="212949A1" w:rsidR="00C52DEA" w:rsidRDefault="00C52DEA" w:rsidP="00C52DEA">
      <w:pPr>
        <w:numPr>
          <w:ilvl w:val="2"/>
          <w:numId w:val="2"/>
        </w:numPr>
        <w:spacing w:after="200" w:line="276" w:lineRule="auto"/>
        <w:ind w:left="1080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Grant Applications</w:t>
      </w:r>
    </w:p>
    <w:p w14:paraId="63F1D20A" w14:textId="77777777" w:rsidR="00FA5917" w:rsidRDefault="00FA5917" w:rsidP="00FA5917">
      <w:pPr>
        <w:numPr>
          <w:ilvl w:val="2"/>
          <w:numId w:val="2"/>
        </w:numPr>
        <w:spacing w:after="200" w:line="276" w:lineRule="auto"/>
        <w:ind w:left="1080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Donor / Funder Restrictions</w:t>
      </w:r>
    </w:p>
    <w:p w14:paraId="51A2413A" w14:textId="134448C1" w:rsidR="00C52DEA" w:rsidRDefault="00C52DEA" w:rsidP="00C52DEA">
      <w:pPr>
        <w:numPr>
          <w:ilvl w:val="2"/>
          <w:numId w:val="2"/>
        </w:numPr>
        <w:spacing w:after="200" w:line="276" w:lineRule="auto"/>
        <w:ind w:left="1080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Sponsorships</w:t>
      </w:r>
    </w:p>
    <w:p w14:paraId="5F7B564E" w14:textId="47F0B678" w:rsidR="00C52DEA" w:rsidRDefault="00C52DEA" w:rsidP="00C52DEA">
      <w:pPr>
        <w:numPr>
          <w:ilvl w:val="2"/>
          <w:numId w:val="2"/>
        </w:numPr>
        <w:spacing w:after="200" w:line="276" w:lineRule="auto"/>
        <w:ind w:left="1080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Pledge Recognition</w:t>
      </w:r>
    </w:p>
    <w:p w14:paraId="19AAC914" w14:textId="36385322" w:rsidR="00C52DEA" w:rsidRPr="00C52DEA" w:rsidRDefault="00FA5917" w:rsidP="00C52DEA">
      <w:pPr>
        <w:numPr>
          <w:ilvl w:val="2"/>
          <w:numId w:val="2"/>
        </w:numPr>
        <w:spacing w:after="200" w:line="276" w:lineRule="auto"/>
        <w:ind w:left="1080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Donor Confidentiality &amp; Acknowledgement</w:t>
      </w:r>
    </w:p>
    <w:p w14:paraId="2C7EB30B" w14:textId="77777777" w:rsidR="00183BF2" w:rsidRDefault="00183BF2" w:rsidP="00816679"/>
    <w:sectPr w:rsidR="00183BF2" w:rsidSect="00305B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20203" w14:textId="77777777" w:rsidR="00D66D52" w:rsidRDefault="00D66D52" w:rsidP="004D369A">
      <w:r>
        <w:separator/>
      </w:r>
    </w:p>
  </w:endnote>
  <w:endnote w:type="continuationSeparator" w:id="0">
    <w:p w14:paraId="07EC0EB8" w14:textId="77777777" w:rsidR="00D66D52" w:rsidRDefault="00D66D52" w:rsidP="004D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4B4C5" w14:textId="77777777" w:rsidR="00D66D52" w:rsidRDefault="00D66D52" w:rsidP="004D369A">
      <w:r>
        <w:separator/>
      </w:r>
    </w:p>
  </w:footnote>
  <w:footnote w:type="continuationSeparator" w:id="0">
    <w:p w14:paraId="23EE6E0C" w14:textId="77777777" w:rsidR="00D66D52" w:rsidRDefault="00D66D52" w:rsidP="004D3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2044"/>
    <w:multiLevelType w:val="hybridMultilevel"/>
    <w:tmpl w:val="FE92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A252F"/>
    <w:multiLevelType w:val="hybridMultilevel"/>
    <w:tmpl w:val="B9D0DC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305B59"/>
    <w:rsid w:val="000117D7"/>
    <w:rsid w:val="00030BF6"/>
    <w:rsid w:val="0009057F"/>
    <w:rsid w:val="00183BF2"/>
    <w:rsid w:val="00305B59"/>
    <w:rsid w:val="00367D14"/>
    <w:rsid w:val="003905BC"/>
    <w:rsid w:val="00405B17"/>
    <w:rsid w:val="00437BC7"/>
    <w:rsid w:val="00440A3C"/>
    <w:rsid w:val="00462D20"/>
    <w:rsid w:val="004841DD"/>
    <w:rsid w:val="004C08A9"/>
    <w:rsid w:val="004D369A"/>
    <w:rsid w:val="004F231E"/>
    <w:rsid w:val="00571B3C"/>
    <w:rsid w:val="00574109"/>
    <w:rsid w:val="006469C5"/>
    <w:rsid w:val="00687D6E"/>
    <w:rsid w:val="00744C31"/>
    <w:rsid w:val="007E7BCD"/>
    <w:rsid w:val="00816679"/>
    <w:rsid w:val="00840B4D"/>
    <w:rsid w:val="008B7FB6"/>
    <w:rsid w:val="008E6BC5"/>
    <w:rsid w:val="00901B12"/>
    <w:rsid w:val="00A00636"/>
    <w:rsid w:val="00A06235"/>
    <w:rsid w:val="00AA477E"/>
    <w:rsid w:val="00AF1084"/>
    <w:rsid w:val="00AF2BE6"/>
    <w:rsid w:val="00B76E99"/>
    <w:rsid w:val="00C52DEA"/>
    <w:rsid w:val="00C903B8"/>
    <w:rsid w:val="00D66D52"/>
    <w:rsid w:val="00DA084F"/>
    <w:rsid w:val="00DD2EEC"/>
    <w:rsid w:val="00E13586"/>
    <w:rsid w:val="00E2132E"/>
    <w:rsid w:val="00E873E7"/>
    <w:rsid w:val="00F043EC"/>
    <w:rsid w:val="00F7288B"/>
    <w:rsid w:val="00F74D66"/>
    <w:rsid w:val="00FA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5A12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1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B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B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30B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D3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69A"/>
  </w:style>
  <w:style w:type="paragraph" w:styleId="Footer">
    <w:name w:val="footer"/>
    <w:basedOn w:val="Normal"/>
    <w:link w:val="FooterChar"/>
    <w:uiPriority w:val="99"/>
    <w:unhideWhenUsed/>
    <w:rsid w:val="004D3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1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B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B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30B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D3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69A"/>
  </w:style>
  <w:style w:type="paragraph" w:styleId="Footer">
    <w:name w:val="footer"/>
    <w:basedOn w:val="Normal"/>
    <w:link w:val="FooterChar"/>
    <w:uiPriority w:val="99"/>
    <w:unhideWhenUsed/>
    <w:rsid w:val="004D3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5B25B7A46A5843ACA3C1D5622D580C" ma:contentTypeVersion="10" ma:contentTypeDescription="Create a new document." ma:contentTypeScope="" ma:versionID="76a97404a3cb56be8f851b0844c9d421">
  <xsd:schema xmlns:xsd="http://www.w3.org/2001/XMLSchema" xmlns:xs="http://www.w3.org/2001/XMLSchema" xmlns:p="http://schemas.microsoft.com/office/2006/metadata/properties" xmlns:ns2="ab36a016-0256-4dda-ac88-fa2184afd2b9" xmlns:ns3="e3815efe-652f-48a9-8418-d02735057b64" targetNamespace="http://schemas.microsoft.com/office/2006/metadata/properties" ma:root="true" ma:fieldsID="f1a6df7f3ed6adaf13a0548d722d8a83" ns2:_="" ns3:_="">
    <xsd:import namespace="ab36a016-0256-4dda-ac88-fa2184afd2b9"/>
    <xsd:import namespace="e3815efe-652f-48a9-8418-d02735057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6a016-0256-4dda-ac88-fa2184afd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15efe-652f-48a9-8418-d02735057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DC0F00-A100-4DAA-A5E5-35093DFA7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94037-3DFF-41A1-B0AC-4AAB3AEEA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6a016-0256-4dda-ac88-fa2184afd2b9"/>
    <ds:schemaRef ds:uri="e3815efe-652f-48a9-8418-d02735057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477A83-893E-4D66-BDED-4470720C67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Caldwell</dc:creator>
  <cp:keywords/>
  <dc:description/>
  <cp:lastModifiedBy>Benjamin Bullock</cp:lastModifiedBy>
  <cp:revision>12</cp:revision>
  <dcterms:created xsi:type="dcterms:W3CDTF">2017-12-07T21:31:00Z</dcterms:created>
  <dcterms:modified xsi:type="dcterms:W3CDTF">2019-06-25T18:11:00Z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0x010100545B25B7A46A5843ACA3C1D5622D580C</vt:lpwstr>
  </property>
  <property fmtid="{D5CDD505-2E9C-101B-9397-08002B2CF9AE}" pid="3" name="Order">
    <vt:r8>7700</vt:r8>
  </property>
  <property fmtid="{D5CDD505-2E9C-101B-9397-08002B2CF9AE}" pid="4" name="ComplianceAssetId">
    <vt:lpwstr/>
  </property>
</Properties>
</file>