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7149" w14:textId="77777777" w:rsidR="00671DDB" w:rsidRPr="00671DDB" w:rsidRDefault="00671DDB" w:rsidP="00671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 w:rsidRPr="00671DDB"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3B880EE0" wp14:editId="6DAF8016">
            <wp:extent cx="4498982" cy="102870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528C" w14:textId="77777777" w:rsidR="00671DDB" w:rsidRPr="00671DDB" w:rsidRDefault="00671DDB" w:rsidP="0067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4.</w:t>
      </w: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DAILY OPERATIONS</w:t>
      </w:r>
    </w:p>
    <w:p w14:paraId="36E19050" w14:textId="77777777" w:rsidR="00671DDB" w:rsidRPr="00671DDB" w:rsidRDefault="00671DDB" w:rsidP="0067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proofErr w:type="gramStart"/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>4.A.</w:t>
      </w:r>
      <w:proofErr w:type="gramEnd"/>
      <w:r w:rsidRPr="00671DDB"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OPERATIONS AND EVALUATION</w:t>
      </w:r>
    </w:p>
    <w:p w14:paraId="066A2389" w14:textId="37E5D8B4" w:rsidR="00671DDB" w:rsidRPr="00671DDB" w:rsidRDefault="00671DDB" w:rsidP="0067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 w:rsidRPr="00671DDB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 w:rsidRPr="00671DDB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Pr="00671DDB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proofErr w:type="gramStart"/>
      <w:r w:rsidRPr="00671DDB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4.A.</w:t>
      </w:r>
      <w:proofErr w:type="gramEnd"/>
      <w:r w:rsidR="00FD79F7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5.</w:t>
      </w:r>
      <w:r w:rsidRPr="00671DDB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 w:rsidR="00FD79F7"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Consultant Collaborative Code of Conduct</w:t>
      </w:r>
    </w:p>
    <w:p w14:paraId="30E1E369" w14:textId="039A9CB5" w:rsidR="00671DDB" w:rsidRPr="00671DDB" w:rsidRDefault="00DA282D" w:rsidP="0067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 w:rsidRPr="00DF275D">
        <w:rPr>
          <w:rFonts w:eastAsia="Times New Roman" w:cs="Times New Roman"/>
          <w:bCs/>
          <w:i/>
          <w:snapToGrid w:val="0"/>
          <w:color w:val="auto"/>
          <w:spacing w:val="-3"/>
          <w:sz w:val="24"/>
          <w:szCs w:val="20"/>
        </w:rPr>
        <w:t xml:space="preserve">Recommended by Consultant Collab Leadership Team &amp; </w:t>
      </w:r>
      <w:r w:rsidR="0085636E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Approved by Board of Directors</w:t>
      </w:r>
      <w:r w:rsidR="00671DDB" w:rsidRPr="00671DDB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 – </w:t>
      </w:r>
      <w:proofErr w:type="gramStart"/>
      <w:r w:rsidR="00D46F68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1/</w:t>
      </w:r>
      <w:r w:rsidR="00920267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30</w:t>
      </w:r>
      <w:r w:rsidR="00D46F68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/2</w:t>
      </w:r>
      <w:r w:rsidR="00920267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4</w:t>
      </w:r>
      <w:proofErr w:type="gramEnd"/>
    </w:p>
    <w:p w14:paraId="64DE062A" w14:textId="77777777" w:rsidR="00671DDB" w:rsidRPr="00671DDB" w:rsidRDefault="00671DDB" w:rsidP="00671D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 w:rsidRPr="00671DD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0D1CE99" wp14:editId="0BEF67C7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354F" id="Rectangle 27" o:spid="_x0000_s1026" style="position:absolute;margin-left:0;margin-top:.85pt;width:542.25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" o:allowincell="f" fillcolor="black" stroked="f" strokeweight=".05pt">
                <w10:wrap anchorx="margin"/>
              </v:rect>
            </w:pict>
          </mc:Fallback>
        </mc:AlternateContent>
      </w:r>
    </w:p>
    <w:p w14:paraId="7A81CA05" w14:textId="2DBFAA87" w:rsidR="00D46F68" w:rsidRPr="00696302" w:rsidRDefault="00D46F68" w:rsidP="00D46F68">
      <w:p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96302">
        <w:rPr>
          <w:rFonts w:eastAsia="Times New Roman" w:cs="Helvetica"/>
          <w:bCs/>
          <w:color w:val="auto"/>
          <w:sz w:val="24"/>
        </w:rPr>
        <w:t>Together SC Consultant Collaborative members aspire and commit to the following standards:</w:t>
      </w:r>
    </w:p>
    <w:p w14:paraId="37D3197B" w14:textId="77777777" w:rsidR="00696302" w:rsidRDefault="00696302" w:rsidP="00D46F68">
      <w:pPr>
        <w:spacing w:after="0" w:line="240" w:lineRule="auto"/>
        <w:rPr>
          <w:rFonts w:eastAsia="Times New Roman" w:cs="Helvetica"/>
          <w:bCs/>
          <w:color w:val="auto"/>
          <w:sz w:val="24"/>
        </w:rPr>
      </w:pPr>
    </w:p>
    <w:p w14:paraId="60300F36" w14:textId="0AB75F63" w:rsidR="00D46F68" w:rsidRPr="00696302" w:rsidRDefault="00D46F68" w:rsidP="00D46F68">
      <w:pPr>
        <w:spacing w:after="0" w:line="240" w:lineRule="auto"/>
        <w:rPr>
          <w:rFonts w:eastAsia="Times New Roman" w:cs="Helvetica"/>
          <w:b/>
          <w:color w:val="auto"/>
          <w:sz w:val="24"/>
        </w:rPr>
      </w:pPr>
      <w:r w:rsidRPr="00696302">
        <w:rPr>
          <w:rFonts w:eastAsia="Times New Roman" w:cs="Helvetica"/>
          <w:b/>
          <w:color w:val="auto"/>
          <w:sz w:val="24"/>
        </w:rPr>
        <w:t>General Integrity</w:t>
      </w:r>
    </w:p>
    <w:p w14:paraId="2EC46BF3" w14:textId="77777777" w:rsidR="00D46F68" w:rsidRPr="00696302" w:rsidRDefault="00D46F68" w:rsidP="00D46F68">
      <w:pPr>
        <w:spacing w:after="0" w:line="240" w:lineRule="auto"/>
        <w:rPr>
          <w:rFonts w:eastAsia="Times New Roman" w:cs="Helvetica"/>
          <w:bCs/>
          <w:i/>
          <w:iCs/>
          <w:color w:val="auto"/>
          <w:sz w:val="24"/>
        </w:rPr>
      </w:pPr>
      <w:r w:rsidRPr="00696302">
        <w:rPr>
          <w:rFonts w:eastAsia="Times New Roman" w:cs="Helvetica"/>
          <w:bCs/>
          <w:i/>
          <w:iCs/>
          <w:color w:val="auto"/>
          <w:sz w:val="24"/>
        </w:rPr>
        <w:t>We agree to:</w:t>
      </w:r>
    </w:p>
    <w:p w14:paraId="43E71BA4" w14:textId="77777777" w:rsidR="00696302" w:rsidRDefault="00D46F68" w:rsidP="008F146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96302">
        <w:rPr>
          <w:rFonts w:eastAsia="Times New Roman" w:cs="Helvetica"/>
          <w:bCs/>
          <w:color w:val="auto"/>
          <w:sz w:val="24"/>
        </w:rPr>
        <w:t>be responsible, transparent, honest, and accountable for all</w:t>
      </w:r>
      <w:r w:rsidR="00696302" w:rsidRPr="00696302">
        <w:rPr>
          <w:rFonts w:eastAsia="Times New Roman" w:cs="Helvetica"/>
          <w:bCs/>
          <w:color w:val="auto"/>
          <w:sz w:val="24"/>
        </w:rPr>
        <w:t xml:space="preserve"> </w:t>
      </w:r>
      <w:r w:rsidRPr="00696302">
        <w:rPr>
          <w:rFonts w:eastAsia="Times New Roman" w:cs="Helvetica"/>
          <w:bCs/>
          <w:color w:val="auto"/>
          <w:sz w:val="24"/>
        </w:rPr>
        <w:t>our actions in order to safeguard the public trust with</w:t>
      </w:r>
      <w:r w:rsidR="00696302" w:rsidRPr="00696302">
        <w:rPr>
          <w:rFonts w:eastAsia="Times New Roman" w:cs="Helvetica"/>
          <w:bCs/>
          <w:color w:val="auto"/>
          <w:sz w:val="24"/>
        </w:rPr>
        <w:t xml:space="preserve"> </w:t>
      </w:r>
      <w:proofErr w:type="gramStart"/>
      <w:r w:rsidRPr="00696302">
        <w:rPr>
          <w:rFonts w:eastAsia="Times New Roman" w:cs="Helvetica"/>
          <w:bCs/>
          <w:color w:val="auto"/>
          <w:sz w:val="24"/>
        </w:rPr>
        <w:t>integrity;</w:t>
      </w:r>
      <w:proofErr w:type="gramEnd"/>
    </w:p>
    <w:p w14:paraId="4135D715" w14:textId="77777777" w:rsidR="008A420E" w:rsidRDefault="00D46F68" w:rsidP="00D46F6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8A420E">
        <w:rPr>
          <w:rFonts w:eastAsia="Times New Roman" w:cs="Helvetica"/>
          <w:bCs/>
          <w:color w:val="auto"/>
          <w:sz w:val="24"/>
        </w:rPr>
        <w:t>adhere to all applicable laws and regulations and avoid the</w:t>
      </w:r>
      <w:r w:rsid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 xml:space="preserve">appearance of any professional </w:t>
      </w:r>
      <w:proofErr w:type="gramStart"/>
      <w:r w:rsidRPr="008A420E">
        <w:rPr>
          <w:rFonts w:eastAsia="Times New Roman" w:cs="Helvetica"/>
          <w:bCs/>
          <w:color w:val="auto"/>
          <w:sz w:val="24"/>
        </w:rPr>
        <w:t>misconduct;</w:t>
      </w:r>
      <w:proofErr w:type="gramEnd"/>
    </w:p>
    <w:p w14:paraId="14AC1251" w14:textId="03F6ED0D" w:rsidR="00D46F68" w:rsidRDefault="00D46F68" w:rsidP="007A4AA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8A420E">
        <w:rPr>
          <w:rFonts w:eastAsia="Times New Roman" w:cs="Helvetica"/>
          <w:bCs/>
          <w:color w:val="auto"/>
          <w:sz w:val="24"/>
        </w:rPr>
        <w:t>encourage colleagues to embrace and practice these ethical</w:t>
      </w:r>
      <w:r w:rsid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>principles and standards.</w:t>
      </w:r>
    </w:p>
    <w:p w14:paraId="56FB2F2F" w14:textId="77777777" w:rsidR="008A420E" w:rsidRPr="008A420E" w:rsidRDefault="008A420E" w:rsidP="008A420E">
      <w:pPr>
        <w:pStyle w:val="ListParagraph"/>
        <w:spacing w:after="0" w:line="240" w:lineRule="auto"/>
        <w:rPr>
          <w:rFonts w:eastAsia="Times New Roman" w:cs="Helvetica"/>
          <w:bCs/>
          <w:color w:val="auto"/>
          <w:sz w:val="24"/>
        </w:rPr>
      </w:pPr>
    </w:p>
    <w:p w14:paraId="28476DCA" w14:textId="77777777" w:rsidR="00D46F68" w:rsidRPr="008A420E" w:rsidRDefault="00D46F68" w:rsidP="00D46F68">
      <w:pPr>
        <w:spacing w:after="0" w:line="240" w:lineRule="auto"/>
        <w:rPr>
          <w:rFonts w:eastAsia="Times New Roman" w:cs="Helvetica"/>
          <w:b/>
          <w:color w:val="auto"/>
          <w:sz w:val="24"/>
        </w:rPr>
      </w:pPr>
      <w:r w:rsidRPr="008A420E">
        <w:rPr>
          <w:rFonts w:eastAsia="Times New Roman" w:cs="Helvetica"/>
          <w:b/>
          <w:color w:val="auto"/>
          <w:sz w:val="24"/>
        </w:rPr>
        <w:t>Client Engagement</w:t>
      </w:r>
    </w:p>
    <w:p w14:paraId="574BB958" w14:textId="77777777" w:rsidR="00D46F68" w:rsidRPr="008A420E" w:rsidRDefault="00D46F68" w:rsidP="00D46F68">
      <w:pPr>
        <w:spacing w:after="0" w:line="240" w:lineRule="auto"/>
        <w:rPr>
          <w:rFonts w:eastAsia="Times New Roman" w:cs="Helvetica"/>
          <w:bCs/>
          <w:i/>
          <w:iCs/>
          <w:color w:val="auto"/>
          <w:sz w:val="24"/>
        </w:rPr>
      </w:pPr>
      <w:r w:rsidRPr="008A420E">
        <w:rPr>
          <w:rFonts w:eastAsia="Times New Roman" w:cs="Helvetica"/>
          <w:bCs/>
          <w:i/>
          <w:iCs/>
          <w:color w:val="auto"/>
          <w:sz w:val="24"/>
        </w:rPr>
        <w:t>We agree to:</w:t>
      </w:r>
    </w:p>
    <w:p w14:paraId="27038E8F" w14:textId="77777777" w:rsidR="008A420E" w:rsidRDefault="00D46F68" w:rsidP="00444AB5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8A420E">
        <w:rPr>
          <w:rFonts w:eastAsia="Times New Roman" w:cs="Helvetica"/>
          <w:bCs/>
          <w:color w:val="auto"/>
          <w:sz w:val="24"/>
        </w:rPr>
        <w:t>establish, maintain, and develop client relationships based</w:t>
      </w:r>
      <w:r w:rsidR="008A420E" w:rsidRP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 xml:space="preserve">on mutual confidence and </w:t>
      </w:r>
      <w:proofErr w:type="gramStart"/>
      <w:r w:rsidRPr="008A420E">
        <w:rPr>
          <w:rFonts w:eastAsia="Times New Roman" w:cs="Helvetica"/>
          <w:bCs/>
          <w:color w:val="auto"/>
          <w:sz w:val="24"/>
        </w:rPr>
        <w:t>trust;</w:t>
      </w:r>
      <w:proofErr w:type="gramEnd"/>
    </w:p>
    <w:p w14:paraId="21647DE6" w14:textId="77777777" w:rsidR="008A420E" w:rsidRDefault="00D46F68" w:rsidP="00D46F6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8A420E">
        <w:rPr>
          <w:rFonts w:eastAsia="Times New Roman" w:cs="Helvetica"/>
          <w:bCs/>
          <w:color w:val="auto"/>
          <w:sz w:val="24"/>
        </w:rPr>
        <w:t>recognize our consultancy’s boundaries of professional</w:t>
      </w:r>
      <w:r w:rsidR="008A420E" w:rsidRP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>competence, referring to qualified colleagues where</w:t>
      </w:r>
      <w:r w:rsid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 xml:space="preserve">beneficial to the </w:t>
      </w:r>
      <w:proofErr w:type="gramStart"/>
      <w:r w:rsidRPr="008A420E">
        <w:rPr>
          <w:rFonts w:eastAsia="Times New Roman" w:cs="Helvetica"/>
          <w:bCs/>
          <w:color w:val="auto"/>
          <w:sz w:val="24"/>
        </w:rPr>
        <w:t>client;</w:t>
      </w:r>
      <w:proofErr w:type="gramEnd"/>
      <w:r w:rsidR="008A420E">
        <w:rPr>
          <w:rFonts w:eastAsia="Times New Roman" w:cs="Helvetica"/>
          <w:bCs/>
          <w:color w:val="auto"/>
          <w:sz w:val="24"/>
        </w:rPr>
        <w:t xml:space="preserve"> </w:t>
      </w:r>
    </w:p>
    <w:p w14:paraId="4200FC99" w14:textId="77777777" w:rsidR="008A420E" w:rsidRDefault="00D46F68" w:rsidP="004261FC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8A420E">
        <w:rPr>
          <w:rFonts w:eastAsia="Times New Roman" w:cs="Helvetica"/>
          <w:bCs/>
          <w:color w:val="auto"/>
          <w:sz w:val="24"/>
        </w:rPr>
        <w:t>ensure that all marketing and promotional materials</w:t>
      </w:r>
      <w:r w:rsidR="008A420E" w:rsidRP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>accurately and correctly reflect the work, experiences, and</w:t>
      </w:r>
      <w:r w:rsidR="008A420E" w:rsidRPr="008A420E">
        <w:rPr>
          <w:rFonts w:eastAsia="Times New Roman" w:cs="Helvetica"/>
          <w:bCs/>
          <w:color w:val="auto"/>
          <w:sz w:val="24"/>
        </w:rPr>
        <w:t xml:space="preserve"> </w:t>
      </w:r>
      <w:r w:rsidRPr="008A420E">
        <w:rPr>
          <w:rFonts w:eastAsia="Times New Roman" w:cs="Helvetica"/>
          <w:bCs/>
          <w:color w:val="auto"/>
          <w:sz w:val="24"/>
        </w:rPr>
        <w:t xml:space="preserve">expertise of the consultant </w:t>
      </w:r>
      <w:proofErr w:type="gramStart"/>
      <w:r w:rsidRPr="008A420E">
        <w:rPr>
          <w:rFonts w:eastAsia="Times New Roman" w:cs="Helvetica"/>
          <w:bCs/>
          <w:color w:val="auto"/>
          <w:sz w:val="24"/>
        </w:rPr>
        <w:t>practice;</w:t>
      </w:r>
      <w:proofErr w:type="gramEnd"/>
    </w:p>
    <w:p w14:paraId="22C419AC" w14:textId="77777777" w:rsidR="00427601" w:rsidRDefault="00D46F68" w:rsidP="005B15EC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427601">
        <w:rPr>
          <w:rFonts w:eastAsia="Times New Roman" w:cs="Helvetica"/>
          <w:bCs/>
          <w:color w:val="auto"/>
          <w:sz w:val="24"/>
        </w:rPr>
        <w:t>establish the nature and purpose of any contractual</w:t>
      </w:r>
      <w:r w:rsidR="00427601" w:rsidRPr="00427601">
        <w:rPr>
          <w:rFonts w:eastAsia="Times New Roman" w:cs="Helvetica"/>
          <w:bCs/>
          <w:color w:val="auto"/>
          <w:sz w:val="24"/>
        </w:rPr>
        <w:t xml:space="preserve"> </w:t>
      </w:r>
      <w:r w:rsidRPr="00427601">
        <w:rPr>
          <w:rFonts w:eastAsia="Times New Roman" w:cs="Helvetica"/>
          <w:bCs/>
          <w:color w:val="auto"/>
          <w:sz w:val="24"/>
        </w:rPr>
        <w:t>relationship at the outset and be responsive and available</w:t>
      </w:r>
      <w:r w:rsidR="00427601" w:rsidRPr="00427601">
        <w:rPr>
          <w:rFonts w:eastAsia="Times New Roman" w:cs="Helvetica"/>
          <w:bCs/>
          <w:color w:val="auto"/>
          <w:sz w:val="24"/>
        </w:rPr>
        <w:t xml:space="preserve"> </w:t>
      </w:r>
      <w:r w:rsidRPr="00427601">
        <w:rPr>
          <w:rFonts w:eastAsia="Times New Roman" w:cs="Helvetica"/>
          <w:bCs/>
          <w:color w:val="auto"/>
          <w:sz w:val="24"/>
        </w:rPr>
        <w:t>to parties before, during, and after any services and/or sale</w:t>
      </w:r>
      <w:r w:rsidR="00427601" w:rsidRPr="00427601">
        <w:rPr>
          <w:rFonts w:eastAsia="Times New Roman" w:cs="Helvetica"/>
          <w:bCs/>
          <w:color w:val="auto"/>
          <w:sz w:val="24"/>
        </w:rPr>
        <w:t xml:space="preserve"> </w:t>
      </w:r>
      <w:r w:rsidRPr="00427601">
        <w:rPr>
          <w:rFonts w:eastAsia="Times New Roman" w:cs="Helvetica"/>
          <w:bCs/>
          <w:color w:val="auto"/>
          <w:sz w:val="24"/>
        </w:rPr>
        <w:t xml:space="preserve">of </w:t>
      </w:r>
      <w:proofErr w:type="gramStart"/>
      <w:r w:rsidRPr="00427601">
        <w:rPr>
          <w:rFonts w:eastAsia="Times New Roman" w:cs="Helvetica"/>
          <w:bCs/>
          <w:color w:val="auto"/>
          <w:sz w:val="24"/>
        </w:rPr>
        <w:t>materials;</w:t>
      </w:r>
      <w:proofErr w:type="gramEnd"/>
    </w:p>
    <w:p w14:paraId="6E5CFF76" w14:textId="77777777" w:rsidR="00427601" w:rsidRDefault="00D46F68" w:rsidP="00BE194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427601">
        <w:rPr>
          <w:rFonts w:eastAsia="Times New Roman" w:cs="Helvetica"/>
          <w:bCs/>
          <w:color w:val="auto"/>
          <w:sz w:val="24"/>
        </w:rPr>
        <w:t>obtain explicit client consent before altering any conditions</w:t>
      </w:r>
      <w:r w:rsidR="00427601" w:rsidRPr="00427601">
        <w:rPr>
          <w:rFonts w:eastAsia="Times New Roman" w:cs="Helvetica"/>
          <w:bCs/>
          <w:color w:val="auto"/>
          <w:sz w:val="24"/>
        </w:rPr>
        <w:t xml:space="preserve"> </w:t>
      </w:r>
      <w:r w:rsidRPr="00427601">
        <w:rPr>
          <w:rFonts w:eastAsia="Times New Roman" w:cs="Helvetica"/>
          <w:bCs/>
          <w:color w:val="auto"/>
          <w:sz w:val="24"/>
        </w:rPr>
        <w:t xml:space="preserve">of contractual </w:t>
      </w:r>
      <w:proofErr w:type="gramStart"/>
      <w:r w:rsidRPr="00427601">
        <w:rPr>
          <w:rFonts w:eastAsia="Times New Roman" w:cs="Helvetica"/>
          <w:bCs/>
          <w:color w:val="auto"/>
          <w:sz w:val="24"/>
        </w:rPr>
        <w:t>agreements;</w:t>
      </w:r>
      <w:proofErr w:type="gramEnd"/>
      <w:r w:rsidR="00427601" w:rsidRPr="00427601">
        <w:rPr>
          <w:rFonts w:eastAsia="Times New Roman" w:cs="Helvetica"/>
          <w:bCs/>
          <w:color w:val="auto"/>
          <w:sz w:val="24"/>
        </w:rPr>
        <w:t xml:space="preserve"> </w:t>
      </w:r>
    </w:p>
    <w:p w14:paraId="2F1AC55A" w14:textId="77777777" w:rsidR="00675EE9" w:rsidRDefault="00D46F68" w:rsidP="00CE7AB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honor the intellectual property rights of other parties;</w:t>
      </w:r>
      <w:r w:rsidR="00427601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>be accountable for achieving the objectives, projects, and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tasks that we undertake to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deliver;</w:t>
      </w:r>
      <w:proofErr w:type="gramEnd"/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</w:p>
    <w:p w14:paraId="228A5512" w14:textId="77777777" w:rsidR="00675EE9" w:rsidRDefault="00D46F68" w:rsidP="000C480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protect the confidentiality of all privileged information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relating to the provider/client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relationships;</w:t>
      </w:r>
      <w:proofErr w:type="gramEnd"/>
    </w:p>
    <w:p w14:paraId="2334D44E" w14:textId="77777777" w:rsidR="00675EE9" w:rsidRDefault="00D46F68" w:rsidP="000B52FA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avoid and/or effectively disclose all potential and actual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conflicts of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interest;</w:t>
      </w:r>
      <w:proofErr w:type="gramEnd"/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</w:p>
    <w:p w14:paraId="2871B960" w14:textId="1F889745" w:rsidR="00D46F68" w:rsidRDefault="00D46F68" w:rsidP="002D53D3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avoid untruthful and disparaging communication regarding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>clients or competitors/colleagues.</w:t>
      </w:r>
    </w:p>
    <w:p w14:paraId="249E2A2A" w14:textId="77777777" w:rsidR="00675EE9" w:rsidRPr="00675EE9" w:rsidRDefault="00675EE9" w:rsidP="00675EE9">
      <w:pPr>
        <w:pStyle w:val="ListParagraph"/>
        <w:spacing w:after="0" w:line="240" w:lineRule="auto"/>
        <w:rPr>
          <w:rFonts w:eastAsia="Times New Roman" w:cs="Helvetica"/>
          <w:bCs/>
          <w:color w:val="auto"/>
          <w:sz w:val="24"/>
        </w:rPr>
      </w:pPr>
    </w:p>
    <w:p w14:paraId="2DE1620E" w14:textId="77777777" w:rsidR="00D46F68" w:rsidRPr="00675EE9" w:rsidRDefault="00D46F68" w:rsidP="00D46F68">
      <w:pPr>
        <w:spacing w:after="0" w:line="240" w:lineRule="auto"/>
        <w:rPr>
          <w:rFonts w:eastAsia="Times New Roman" w:cs="Helvetica"/>
          <w:b/>
          <w:color w:val="auto"/>
          <w:sz w:val="24"/>
        </w:rPr>
      </w:pPr>
      <w:r w:rsidRPr="00675EE9">
        <w:rPr>
          <w:rFonts w:eastAsia="Times New Roman" w:cs="Helvetica"/>
          <w:b/>
          <w:color w:val="auto"/>
          <w:sz w:val="24"/>
        </w:rPr>
        <w:t>Professional Reflection</w:t>
      </w:r>
    </w:p>
    <w:p w14:paraId="3A7B862F" w14:textId="77777777" w:rsidR="00D46F68" w:rsidRPr="00675EE9" w:rsidRDefault="00D46F68" w:rsidP="00D46F68">
      <w:pPr>
        <w:spacing w:after="0" w:line="240" w:lineRule="auto"/>
        <w:rPr>
          <w:rFonts w:eastAsia="Times New Roman" w:cs="Helvetica"/>
          <w:bCs/>
          <w:i/>
          <w:iCs/>
          <w:color w:val="auto"/>
          <w:sz w:val="24"/>
        </w:rPr>
      </w:pPr>
      <w:r w:rsidRPr="00675EE9">
        <w:rPr>
          <w:rFonts w:eastAsia="Times New Roman" w:cs="Helvetica"/>
          <w:bCs/>
          <w:i/>
          <w:iCs/>
          <w:color w:val="auto"/>
          <w:sz w:val="24"/>
        </w:rPr>
        <w:t>We agree to:</w:t>
      </w:r>
    </w:p>
    <w:p w14:paraId="37CA5A03" w14:textId="77777777" w:rsidR="00675EE9" w:rsidRDefault="00D46F68" w:rsidP="000851CE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inspire others through our sense of dedication and high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purpose;</w:t>
      </w:r>
      <w:proofErr w:type="gramEnd"/>
    </w:p>
    <w:p w14:paraId="7E43B604" w14:textId="77777777" w:rsidR="00675EE9" w:rsidRDefault="00D46F68" w:rsidP="00FA2422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foster and champion diversity, equity, and inclusion in our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work, and treat all people with dignity and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respect;</w:t>
      </w:r>
      <w:proofErr w:type="gramEnd"/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</w:p>
    <w:p w14:paraId="4423D05E" w14:textId="77777777" w:rsidR="00675EE9" w:rsidRDefault="00D46F68" w:rsidP="00343C3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continually work to improve our own professional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>knowledge and skills, so that our performance will better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serve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others;</w:t>
      </w:r>
      <w:proofErr w:type="gramEnd"/>
    </w:p>
    <w:p w14:paraId="0647C25F" w14:textId="77777777" w:rsidR="00675EE9" w:rsidRDefault="00D46F68" w:rsidP="00D46F6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affirm, through personal giving and volunteer service, a</w:t>
      </w:r>
      <w:r w:rsid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commitment to philanthropy and community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well-being;</w:t>
      </w:r>
      <w:proofErr w:type="gramEnd"/>
    </w:p>
    <w:p w14:paraId="6401FE5D" w14:textId="36321A24" w:rsidR="00671DDB" w:rsidRPr="00675EE9" w:rsidRDefault="00D46F68" w:rsidP="005D53BE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Helvetica"/>
          <w:bCs/>
          <w:color w:val="auto"/>
          <w:sz w:val="24"/>
        </w:rPr>
      </w:pPr>
      <w:r w:rsidRPr="00675EE9">
        <w:rPr>
          <w:rFonts w:eastAsia="Times New Roman" w:cs="Helvetica"/>
          <w:bCs/>
          <w:color w:val="auto"/>
          <w:sz w:val="24"/>
        </w:rPr>
        <w:t>treat our employees with respect, fairness, and good faith,</w:t>
      </w:r>
      <w:r w:rsidR="00675EE9" w:rsidRP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>and provide conditions of employment that safeguard their</w:t>
      </w:r>
      <w:r w:rsidR="00675EE9">
        <w:rPr>
          <w:rFonts w:eastAsia="Times New Roman" w:cs="Helvetica"/>
          <w:bCs/>
          <w:color w:val="auto"/>
          <w:sz w:val="24"/>
        </w:rPr>
        <w:t xml:space="preserve"> </w:t>
      </w:r>
      <w:r w:rsidRPr="00675EE9">
        <w:rPr>
          <w:rFonts w:eastAsia="Times New Roman" w:cs="Helvetica"/>
          <w:bCs/>
          <w:color w:val="auto"/>
          <w:sz w:val="24"/>
        </w:rPr>
        <w:t xml:space="preserve">rights and </w:t>
      </w:r>
      <w:proofErr w:type="gramStart"/>
      <w:r w:rsidRPr="00675EE9">
        <w:rPr>
          <w:rFonts w:eastAsia="Times New Roman" w:cs="Helvetica"/>
          <w:bCs/>
          <w:color w:val="auto"/>
          <w:sz w:val="24"/>
        </w:rPr>
        <w:t>welfare;</w:t>
      </w:r>
      <w:proofErr w:type="gramEnd"/>
    </w:p>
    <w:p w14:paraId="03ACDDBB" w14:textId="3F0DE27B" w:rsidR="009A6E39" w:rsidRPr="00696302" w:rsidRDefault="009A6E39" w:rsidP="00671DDB">
      <w:pPr>
        <w:rPr>
          <w:sz w:val="20"/>
          <w:szCs w:val="20"/>
        </w:rPr>
      </w:pPr>
    </w:p>
    <w:sectPr w:rsidR="009A6E39" w:rsidRPr="00696302" w:rsidSect="00FD1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9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2E9"/>
    <w:multiLevelType w:val="hybridMultilevel"/>
    <w:tmpl w:val="9C9C7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7F2E"/>
    <w:multiLevelType w:val="hybridMultilevel"/>
    <w:tmpl w:val="FBD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483D"/>
    <w:multiLevelType w:val="hybridMultilevel"/>
    <w:tmpl w:val="F3AC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6C7B"/>
    <w:multiLevelType w:val="hybridMultilevel"/>
    <w:tmpl w:val="E41C99FC"/>
    <w:lvl w:ilvl="0" w:tplc="544A0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72559"/>
    <w:multiLevelType w:val="hybridMultilevel"/>
    <w:tmpl w:val="F0FCB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3C7D"/>
    <w:multiLevelType w:val="hybridMultilevel"/>
    <w:tmpl w:val="4500A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41CA5"/>
    <w:multiLevelType w:val="hybridMultilevel"/>
    <w:tmpl w:val="4500A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1D2D"/>
    <w:multiLevelType w:val="hybridMultilevel"/>
    <w:tmpl w:val="F03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718A6"/>
    <w:multiLevelType w:val="hybridMultilevel"/>
    <w:tmpl w:val="93D2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11D2"/>
    <w:multiLevelType w:val="hybridMultilevel"/>
    <w:tmpl w:val="A060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38CF"/>
    <w:multiLevelType w:val="hybridMultilevel"/>
    <w:tmpl w:val="504C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1597"/>
    <w:multiLevelType w:val="hybridMultilevel"/>
    <w:tmpl w:val="1A860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0EB"/>
    <w:multiLevelType w:val="hybridMultilevel"/>
    <w:tmpl w:val="727C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3628"/>
    <w:multiLevelType w:val="hybridMultilevel"/>
    <w:tmpl w:val="96362956"/>
    <w:lvl w:ilvl="0" w:tplc="364EB2DE">
      <w:start w:val="1"/>
      <w:numFmt w:val="lowerLetter"/>
      <w:lvlText w:val="%1)"/>
      <w:lvlJc w:val="left"/>
      <w:pPr>
        <w:ind w:left="702" w:hanging="360"/>
      </w:p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>
      <w:start w:val="1"/>
      <w:numFmt w:val="lowerRoman"/>
      <w:lvlText w:val="%3."/>
      <w:lvlJc w:val="right"/>
      <w:pPr>
        <w:ind w:left="2142" w:hanging="180"/>
      </w:pPr>
    </w:lvl>
    <w:lvl w:ilvl="3" w:tplc="0409000F">
      <w:start w:val="1"/>
      <w:numFmt w:val="decimal"/>
      <w:lvlText w:val="%4."/>
      <w:lvlJc w:val="left"/>
      <w:pPr>
        <w:ind w:left="2862" w:hanging="360"/>
      </w:pPr>
    </w:lvl>
    <w:lvl w:ilvl="4" w:tplc="04090019">
      <w:start w:val="1"/>
      <w:numFmt w:val="lowerLetter"/>
      <w:lvlText w:val="%5."/>
      <w:lvlJc w:val="left"/>
      <w:pPr>
        <w:ind w:left="3582" w:hanging="360"/>
      </w:pPr>
    </w:lvl>
    <w:lvl w:ilvl="5" w:tplc="0409001B">
      <w:start w:val="1"/>
      <w:numFmt w:val="lowerRoman"/>
      <w:lvlText w:val="%6."/>
      <w:lvlJc w:val="right"/>
      <w:pPr>
        <w:ind w:left="4302" w:hanging="180"/>
      </w:pPr>
    </w:lvl>
    <w:lvl w:ilvl="6" w:tplc="0409000F">
      <w:start w:val="1"/>
      <w:numFmt w:val="decimal"/>
      <w:lvlText w:val="%7."/>
      <w:lvlJc w:val="left"/>
      <w:pPr>
        <w:ind w:left="5022" w:hanging="360"/>
      </w:pPr>
    </w:lvl>
    <w:lvl w:ilvl="7" w:tplc="04090019">
      <w:start w:val="1"/>
      <w:numFmt w:val="lowerLetter"/>
      <w:lvlText w:val="%8."/>
      <w:lvlJc w:val="left"/>
      <w:pPr>
        <w:ind w:left="5742" w:hanging="360"/>
      </w:pPr>
    </w:lvl>
    <w:lvl w:ilvl="8" w:tplc="0409001B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51881CCE"/>
    <w:multiLevelType w:val="hybridMultilevel"/>
    <w:tmpl w:val="7784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0BD8"/>
    <w:multiLevelType w:val="hybridMultilevel"/>
    <w:tmpl w:val="25604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16001"/>
    <w:multiLevelType w:val="hybridMultilevel"/>
    <w:tmpl w:val="C77ED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175F37"/>
    <w:multiLevelType w:val="hybridMultilevel"/>
    <w:tmpl w:val="05D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D185E"/>
    <w:multiLevelType w:val="hybridMultilevel"/>
    <w:tmpl w:val="25E2B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D2699"/>
    <w:multiLevelType w:val="multilevel"/>
    <w:tmpl w:val="F738D6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6D4805"/>
    <w:multiLevelType w:val="hybridMultilevel"/>
    <w:tmpl w:val="B44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4393B"/>
    <w:multiLevelType w:val="hybridMultilevel"/>
    <w:tmpl w:val="A17A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30DA8"/>
    <w:multiLevelType w:val="hybridMultilevel"/>
    <w:tmpl w:val="316671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C11BB"/>
    <w:multiLevelType w:val="hybridMultilevel"/>
    <w:tmpl w:val="63DC7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D2E0A"/>
    <w:multiLevelType w:val="hybridMultilevel"/>
    <w:tmpl w:val="D412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739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2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333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046436">
    <w:abstractNumId w:val="0"/>
  </w:num>
  <w:num w:numId="5" w16cid:durableId="1176336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558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557916">
    <w:abstractNumId w:val="13"/>
  </w:num>
  <w:num w:numId="8" w16cid:durableId="1708598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343065">
    <w:abstractNumId w:val="21"/>
  </w:num>
  <w:num w:numId="10" w16cid:durableId="1895384781">
    <w:abstractNumId w:val="22"/>
  </w:num>
  <w:num w:numId="11" w16cid:durableId="1905409725">
    <w:abstractNumId w:val="3"/>
  </w:num>
  <w:num w:numId="12" w16cid:durableId="351803124">
    <w:abstractNumId w:val="4"/>
  </w:num>
  <w:num w:numId="13" w16cid:durableId="1144008853">
    <w:abstractNumId w:val="9"/>
  </w:num>
  <w:num w:numId="14" w16cid:durableId="1596094659">
    <w:abstractNumId w:val="11"/>
  </w:num>
  <w:num w:numId="15" w16cid:durableId="1009602758">
    <w:abstractNumId w:val="17"/>
  </w:num>
  <w:num w:numId="16" w16cid:durableId="902177255">
    <w:abstractNumId w:val="8"/>
  </w:num>
  <w:num w:numId="17" w16cid:durableId="1064569227">
    <w:abstractNumId w:val="2"/>
  </w:num>
  <w:num w:numId="18" w16cid:durableId="2702074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40623588">
    <w:abstractNumId w:val="25"/>
  </w:num>
  <w:num w:numId="20" w16cid:durableId="1435905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58149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38155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878023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202466">
    <w:abstractNumId w:val="19"/>
  </w:num>
  <w:num w:numId="25" w16cid:durableId="436632980">
    <w:abstractNumId w:val="1"/>
  </w:num>
  <w:num w:numId="26" w16cid:durableId="784618279">
    <w:abstractNumId w:val="10"/>
  </w:num>
  <w:num w:numId="27" w16cid:durableId="2144081179">
    <w:abstractNumId w:val="18"/>
  </w:num>
  <w:num w:numId="28" w16cid:durableId="1697997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5C"/>
    <w:rsid w:val="002530B5"/>
    <w:rsid w:val="002910FE"/>
    <w:rsid w:val="00335AEA"/>
    <w:rsid w:val="0034619D"/>
    <w:rsid w:val="00376B5B"/>
    <w:rsid w:val="00425C5C"/>
    <w:rsid w:val="00427601"/>
    <w:rsid w:val="00497F4C"/>
    <w:rsid w:val="005147C0"/>
    <w:rsid w:val="00671DDB"/>
    <w:rsid w:val="00675EE9"/>
    <w:rsid w:val="00696302"/>
    <w:rsid w:val="006A24B0"/>
    <w:rsid w:val="0085636E"/>
    <w:rsid w:val="00863336"/>
    <w:rsid w:val="008A360E"/>
    <w:rsid w:val="008A420E"/>
    <w:rsid w:val="009161E9"/>
    <w:rsid w:val="00917B1A"/>
    <w:rsid w:val="00920267"/>
    <w:rsid w:val="00982197"/>
    <w:rsid w:val="009A6E39"/>
    <w:rsid w:val="00A30418"/>
    <w:rsid w:val="00A30D53"/>
    <w:rsid w:val="00A55F2A"/>
    <w:rsid w:val="00CC4766"/>
    <w:rsid w:val="00CF372E"/>
    <w:rsid w:val="00D459EB"/>
    <w:rsid w:val="00D46F68"/>
    <w:rsid w:val="00D4777C"/>
    <w:rsid w:val="00DA282D"/>
    <w:rsid w:val="00DF275D"/>
    <w:rsid w:val="00E50C03"/>
    <w:rsid w:val="00E708A5"/>
    <w:rsid w:val="00EB78CA"/>
    <w:rsid w:val="00FC1046"/>
    <w:rsid w:val="00FD1CCB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C6FE"/>
  <w15:docId w15:val="{B6C15758-FB2B-49C4-B57C-D5950C4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5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8" ma:contentTypeDescription="Create a new document." ma:contentTypeScope="" ma:versionID="ae2fe52dde2f3e8a0ce7940a12f3d25e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ef8929cea7f4bc071c0199cb53e9b5fb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e5feb6-53e0-4797-8bd1-3604a8e85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bdff0-2cb4-4f2d-ac99-8e0e80378866}" ma:internalName="TaxCatchAll" ma:showField="CatchAllData" ma:web="e3815efe-652f-48a9-8418-d0273505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15efe-652f-48a9-8418-d02735057b64" xsi:nil="true"/>
    <lcf76f155ced4ddcb4097134ff3c332f xmlns="ab36a016-0256-4dda-ac88-fa2184afd2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CFAFC-CC45-4416-A757-D175BCB0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016-0256-4dda-ac88-fa2184afd2b9"/>
    <ds:schemaRef ds:uri="e3815efe-652f-48a9-8418-d0273505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B3DE0-59C4-4DD9-840B-09EF7BDFC29D}">
  <ds:schemaRefs>
    <ds:schemaRef ds:uri="http://schemas.microsoft.com/office/2006/metadata/properties"/>
    <ds:schemaRef ds:uri="http://schemas.microsoft.com/office/infopath/2007/PartnerControls"/>
    <ds:schemaRef ds:uri="e3815efe-652f-48a9-8418-d02735057b64"/>
    <ds:schemaRef ds:uri="ab36a016-0256-4dda-ac88-fa2184afd2b9"/>
  </ds:schemaRefs>
</ds:datastoreItem>
</file>

<file path=customXml/itemProps3.xml><?xml version="1.0" encoding="utf-8"?>
<ds:datastoreItem xmlns:ds="http://schemas.openxmlformats.org/officeDocument/2006/customXml" ds:itemID="{71471925-6A75-4E7B-B50F-E2F8E1A4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Benjamin Bullock</cp:lastModifiedBy>
  <cp:revision>14</cp:revision>
  <dcterms:created xsi:type="dcterms:W3CDTF">2022-04-01T17:10:00Z</dcterms:created>
  <dcterms:modified xsi:type="dcterms:W3CDTF">2024-03-21T19:17:00Z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</Properties>
</file>