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C1" w:rsidRDefault="00B261C1" w:rsidP="00B261C1">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7C3D9018" wp14:editId="60CDE3F9">
            <wp:extent cx="4498982"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B261C1" w:rsidRDefault="00B261C1" w:rsidP="00B261C1">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B261C1" w:rsidRDefault="00B261C1" w:rsidP="00B261C1">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&amp; BOARD PROCESSES</w:t>
      </w:r>
    </w:p>
    <w:p w:rsidR="00B261C1" w:rsidRDefault="00B261C1" w:rsidP="00B261C1">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2.B.</w:t>
      </w:r>
      <w:r>
        <w:rPr>
          <w:rFonts w:eastAsia="Times New Roman" w:cs="Times New Roman"/>
          <w:b/>
          <w:snapToGrid w:val="0"/>
          <w:color w:val="auto"/>
          <w:sz w:val="24"/>
          <w:szCs w:val="20"/>
        </w:rPr>
        <w:tab/>
        <w:t>BOARD COMMITTEES - ROLES &amp; RESPONSIBILITIES</w:t>
      </w:r>
    </w:p>
    <w:p w:rsidR="00B261C1" w:rsidRDefault="00B261C1" w:rsidP="00B261C1">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2.B.1</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Governance Committee</w:t>
      </w:r>
    </w:p>
    <w:p w:rsidR="00B261C1" w:rsidRDefault="00B261C1" w:rsidP="00B261C1">
      <w:pPr>
        <w:widowControl w:val="0"/>
        <w:suppressAutoHyphens/>
        <w:spacing w:after="0" w:line="240" w:lineRule="auto"/>
        <w:jc w:val="right"/>
        <w:rPr>
          <w:rFonts w:eastAsia="Times New Roman" w:cs="Times New Roman"/>
          <w:snapToGrid w:val="0"/>
          <w:color w:val="auto"/>
          <w:spacing w:val="-3"/>
          <w:sz w:val="24"/>
          <w:szCs w:val="20"/>
        </w:rPr>
      </w:pP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snapToGrid w:val="0"/>
          <w:color w:val="auto"/>
          <w:spacing w:val="-3"/>
          <w:sz w:val="24"/>
          <w:szCs w:val="20"/>
        </w:rPr>
        <w:t>Approved by Board of Directors – 8/25/15</w:t>
      </w:r>
    </w:p>
    <w:p w:rsidR="00B261C1" w:rsidRDefault="00B261C1" w:rsidP="00B261C1">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B261C1" w:rsidRDefault="00B261C1" w:rsidP="00B261C1">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55AFC004" wp14:editId="52663D42">
                <wp:simplePos x="0" y="0"/>
                <wp:positionH relativeFrom="margin">
                  <wp:posOffset>0</wp:posOffset>
                </wp:positionH>
                <wp:positionV relativeFrom="paragraph">
                  <wp:posOffset>10795</wp:posOffset>
                </wp:positionV>
                <wp:extent cx="6886575" cy="4572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" o:allowincell="f" fillcolor="black" stroked="f" strokeweight=".05pt">
                <w10:wrap anchorx="margin"/>
              </v:rect>
            </w:pict>
          </mc:Fallback>
        </mc:AlternateContent>
      </w:r>
    </w:p>
    <w:p w:rsidR="00B261C1" w:rsidRDefault="00B261C1" w:rsidP="00B261C1">
      <w:pPr>
        <w:spacing w:after="0" w:line="240" w:lineRule="auto"/>
        <w:rPr>
          <w:rFonts w:eastAsia="Times New Roman" w:cs="Times New Roman"/>
          <w:b/>
          <w:color w:val="auto"/>
          <w:sz w:val="24"/>
          <w:szCs w:val="24"/>
          <w:u w:val="single"/>
        </w:rPr>
      </w:pPr>
      <w:r>
        <w:rPr>
          <w:rFonts w:eastAsia="Times New Roman" w:cs="Times New Roman"/>
          <w:b/>
          <w:color w:val="auto"/>
          <w:sz w:val="24"/>
          <w:szCs w:val="24"/>
          <w:u w:val="single"/>
        </w:rPr>
        <w:t>PURPOSE</w:t>
      </w:r>
    </w:p>
    <w:p w:rsidR="00B261C1" w:rsidRDefault="00B261C1" w:rsidP="00B261C1">
      <w:pPr>
        <w:spacing w:after="0" w:line="240" w:lineRule="auto"/>
        <w:rPr>
          <w:rFonts w:eastAsia="Times New Roman" w:cs="Times New Roman"/>
          <w:b/>
          <w:color w:val="auto"/>
          <w:szCs w:val="24"/>
        </w:rPr>
      </w:pPr>
      <w:r>
        <w:rPr>
          <w:rFonts w:eastAsia="Times New Roman" w:cs="Times New Roman"/>
          <w:color w:val="auto"/>
          <w:szCs w:val="24"/>
        </w:rPr>
        <w:t>To ensure: a) that the composition of the Board of Directors is reflective of Together SC’s needs, b) that the Board operates in compliance with the established bylaws, and c) that Board members remain engaged and productive.</w:t>
      </w:r>
      <w:r>
        <w:rPr>
          <w:rFonts w:eastAsia="Times New Roman" w:cs="Times New Roman"/>
          <w:color w:val="auto"/>
          <w:szCs w:val="24"/>
        </w:rPr>
        <w:br/>
      </w:r>
      <w:r>
        <w:rPr>
          <w:rFonts w:eastAsia="Times New Roman" w:cs="Times New Roman"/>
          <w:b/>
          <w:color w:val="auto"/>
          <w:szCs w:val="24"/>
        </w:rPr>
        <w:t>Reports to:</w:t>
      </w:r>
      <w:r>
        <w:rPr>
          <w:rFonts w:eastAsia="Times New Roman" w:cs="Times New Roman"/>
          <w:color w:val="auto"/>
          <w:szCs w:val="24"/>
        </w:rPr>
        <w:t xml:space="preserve"> Board Chair</w:t>
      </w:r>
      <w:r>
        <w:rPr>
          <w:rFonts w:eastAsia="Times New Roman" w:cs="Times New Roman"/>
          <w:color w:val="auto"/>
          <w:szCs w:val="24"/>
        </w:rPr>
        <w:br/>
      </w:r>
      <w:r>
        <w:rPr>
          <w:rFonts w:eastAsia="Times New Roman" w:cs="Times New Roman"/>
          <w:b/>
          <w:color w:val="auto"/>
          <w:szCs w:val="24"/>
        </w:rPr>
        <w:t>Staffed by:</w:t>
      </w:r>
      <w:r>
        <w:rPr>
          <w:rFonts w:eastAsia="Times New Roman" w:cs="Times New Roman"/>
          <w:color w:val="auto"/>
          <w:szCs w:val="24"/>
        </w:rPr>
        <w:t xml:space="preserve"> The President</w:t>
      </w:r>
    </w:p>
    <w:p w:rsidR="00B261C1" w:rsidRDefault="00B261C1" w:rsidP="00B261C1">
      <w:pPr>
        <w:spacing w:after="0" w:line="240" w:lineRule="auto"/>
        <w:rPr>
          <w:rFonts w:eastAsia="Times New Roman" w:cs="Times New Roman"/>
          <w:b/>
          <w:color w:val="auto"/>
          <w:sz w:val="24"/>
          <w:szCs w:val="24"/>
          <w:u w:val="single"/>
        </w:rPr>
      </w:pPr>
    </w:p>
    <w:p w:rsidR="00B261C1" w:rsidRDefault="00B261C1" w:rsidP="00B261C1">
      <w:pPr>
        <w:spacing w:after="0" w:line="240" w:lineRule="auto"/>
        <w:rPr>
          <w:rFonts w:eastAsia="Times New Roman" w:cs="Times New Roman"/>
          <w:color w:val="auto"/>
          <w:sz w:val="24"/>
          <w:szCs w:val="24"/>
        </w:rPr>
      </w:pPr>
      <w:r>
        <w:rPr>
          <w:rFonts w:eastAsia="Times New Roman" w:cs="Times New Roman"/>
          <w:b/>
          <w:color w:val="auto"/>
          <w:sz w:val="24"/>
          <w:szCs w:val="24"/>
          <w:u w:val="single"/>
        </w:rPr>
        <w:t>ROLES &amp; RESPONSIBILITIES</w:t>
      </w:r>
    </w:p>
    <w:p w:rsidR="00B261C1" w:rsidRDefault="00B261C1" w:rsidP="00B261C1">
      <w:pPr>
        <w:autoSpaceDE w:val="0"/>
        <w:autoSpaceDN w:val="0"/>
        <w:adjustRightInd w:val="0"/>
        <w:spacing w:after="0" w:line="240" w:lineRule="auto"/>
        <w:rPr>
          <w:rFonts w:eastAsia="Times New Roman" w:cs="Berkeley-Medium"/>
          <w:color w:val="auto"/>
        </w:rPr>
      </w:pPr>
      <w:r>
        <w:rPr>
          <w:rFonts w:eastAsia="Times New Roman" w:cs="Berkeley-Black"/>
          <w:color w:val="auto"/>
          <w:u w:val="single"/>
        </w:rPr>
        <w:t>Board Tools and Effectiveness:</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Ensure compliance at all times with bylaws and update as needed.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Review and update as need</w:t>
      </w:r>
      <w:bookmarkStart w:id="0" w:name="_GoBack"/>
      <w:bookmarkEnd w:id="0"/>
      <w:r>
        <w:rPr>
          <w:rFonts w:eastAsia="Times New Roman" w:cs="Berkeley-Medium"/>
          <w:color w:val="auto"/>
        </w:rPr>
        <w:t>ed Together SC’s committee structure.</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Develop and oversee implementation of all governance policies and other policies as directed.</w:t>
      </w:r>
    </w:p>
    <w:p w:rsidR="00B261C1" w:rsidRDefault="00B261C1" w:rsidP="00B261C1">
      <w:pPr>
        <w:autoSpaceDE w:val="0"/>
        <w:autoSpaceDN w:val="0"/>
        <w:adjustRightInd w:val="0"/>
        <w:spacing w:after="0" w:line="240" w:lineRule="auto"/>
        <w:rPr>
          <w:rFonts w:eastAsia="Times New Roman" w:cs="Berkeley-Medium"/>
          <w:color w:val="auto"/>
        </w:rPr>
      </w:pPr>
      <w:r>
        <w:rPr>
          <w:rFonts w:eastAsia="Times New Roman" w:cs="Berkeley-Black"/>
          <w:color w:val="auto"/>
          <w:u w:val="single"/>
        </w:rPr>
        <w:t>Board Composition</w:t>
      </w:r>
      <w:r>
        <w:rPr>
          <w:rFonts w:eastAsia="Times New Roman" w:cs="Berkeley-Medium"/>
          <w:color w:val="auto"/>
        </w:rPr>
        <w:t xml:space="preserv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Lead the assessment of current and anticipated needs related to board composition, determining the knowledge, attributes, skills, abilities, influence, and access to resources the board will need to consider in order to accomplish future work.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Develop a profile of the Board as it should evolve over time. Identify potential board member candidates exploring their interest and availability for board service.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Annually seek nominations of individuals to be elected to the board, bringing a proposed slate to the Board for approval and then to the membership for their vote.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For those whose first terms are set to expire, contact each individually to determine his or her interest in serving a second term.</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In cooperation with the President and the Board Chair, ensure that the Board Member Responsibility Statements are submitted by each Board Member at the beginning of the year, following up with Board Members when needed.</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Work with each board member to identify the appropriate role he or she might assume on behalf of the organization.</w:t>
      </w:r>
    </w:p>
    <w:p w:rsidR="00B261C1" w:rsidRDefault="00B261C1" w:rsidP="00B261C1">
      <w:pPr>
        <w:autoSpaceDE w:val="0"/>
        <w:autoSpaceDN w:val="0"/>
        <w:adjustRightInd w:val="0"/>
        <w:spacing w:after="0" w:line="240" w:lineRule="auto"/>
        <w:rPr>
          <w:rFonts w:eastAsia="Times New Roman" w:cs="Berkeley-Black"/>
          <w:color w:val="auto"/>
        </w:rPr>
      </w:pPr>
      <w:r>
        <w:rPr>
          <w:rFonts w:eastAsia="Times New Roman" w:cs="Berkeley-Black"/>
          <w:color w:val="auto"/>
          <w:u w:val="single"/>
        </w:rPr>
        <w:t>Board Leadership</w:t>
      </w:r>
      <w:r>
        <w:rPr>
          <w:rFonts w:eastAsia="Times New Roman" w:cs="Berkeley-Black"/>
          <w:color w:val="auto"/>
        </w:rPr>
        <w:t xml:space="preserv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Take the lead in succession planning, taking steps to recruit and prepare for future Board leadership.</w:t>
      </w:r>
      <w:r>
        <w:rPr>
          <w:rFonts w:eastAsia="Times New Roman" w:cs="Berkeley-Black"/>
          <w:color w:val="auto"/>
        </w:rPr>
        <w:t xml:space="preserv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Nominate board members for election by the Board as Board officers.</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Annually review and update the Board’s description of its responsibilities and what is expected of individual Board members, bringing any changes to the Board for approval.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Provide advice as needed to the Board chair and other board leaders on steps they might take to enhance board effectiveness</w:t>
      </w:r>
    </w:p>
    <w:p w:rsidR="00B261C1" w:rsidRDefault="00B261C1" w:rsidP="00B261C1">
      <w:pPr>
        <w:autoSpaceDE w:val="0"/>
        <w:autoSpaceDN w:val="0"/>
        <w:adjustRightInd w:val="0"/>
        <w:spacing w:after="0" w:line="240" w:lineRule="auto"/>
        <w:rPr>
          <w:rFonts w:eastAsia="Times New Roman" w:cs="Berkeley-Medium"/>
          <w:color w:val="auto"/>
        </w:rPr>
      </w:pPr>
      <w:r>
        <w:rPr>
          <w:rFonts w:eastAsia="Times New Roman" w:cs="Berkeley-Black"/>
          <w:color w:val="auto"/>
          <w:u w:val="single"/>
        </w:rPr>
        <w:t>Board Knowledge</w:t>
      </w:r>
      <w:r>
        <w:rPr>
          <w:rFonts w:eastAsia="Times New Roman" w:cs="Berkeley-Medium"/>
          <w:color w:val="auto"/>
        </w:rPr>
        <w:t xml:space="preserve">:  </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Ensure a strong Board orientation program, including providing information prior to election, a session for new board members and other information as needed during the early stages of board service.  This should be a consistent process with specific items included in the Board notebook i.e. Bylaws, Annual Budget, board member roster including term dates, GP&amp;BP, Business Plan etc.</w:t>
      </w:r>
    </w:p>
    <w:p w:rsidR="00B261C1" w:rsidRDefault="00B261C1" w:rsidP="00B261C1">
      <w:pPr>
        <w:numPr>
          <w:ilvl w:val="0"/>
          <w:numId w:val="9"/>
        </w:numPr>
        <w:autoSpaceDE w:val="0"/>
        <w:autoSpaceDN w:val="0"/>
        <w:adjustRightInd w:val="0"/>
        <w:spacing w:after="0" w:line="240" w:lineRule="auto"/>
        <w:rPr>
          <w:rFonts w:eastAsia="Times New Roman" w:cs="Berkeley-Medium"/>
          <w:color w:val="auto"/>
        </w:rPr>
      </w:pPr>
      <w:r>
        <w:rPr>
          <w:rFonts w:eastAsia="Times New Roman" w:cs="Berkeley-Medium"/>
          <w:color w:val="auto"/>
        </w:rPr>
        <w:t xml:space="preserve">Continually monitor and work towards Together SC’s compliance with </w:t>
      </w:r>
      <w:r>
        <w:rPr>
          <w:rFonts w:eastAsia="Times New Roman" w:cs="Berkeley-Medium"/>
          <w:i/>
          <w:color w:val="auto"/>
        </w:rPr>
        <w:t>Guiding Principles and Best Practices</w:t>
      </w:r>
    </w:p>
    <w:p w:rsidR="0034619D" w:rsidRPr="00B261C1" w:rsidRDefault="0034619D" w:rsidP="00B261C1"/>
    <w:sectPr w:rsidR="0034619D" w:rsidRPr="00B261C1" w:rsidSect="005B2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keley-Black">
    <w:altName w:val="Cambria"/>
    <w:panose1 w:val="00000000000000000000"/>
    <w:charset w:val="00"/>
    <w:family w:val="roman"/>
    <w:notTrueType/>
    <w:pitch w:val="default"/>
    <w:sig w:usb0="00000003" w:usb1="00000000" w:usb2="00000000" w:usb3="00000000" w:csb0="00000001" w:csb1="00000000"/>
  </w:font>
  <w:font w:name="Berkeley-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E0E"/>
    <w:multiLevelType w:val="hybridMultilevel"/>
    <w:tmpl w:val="7B34037E"/>
    <w:lvl w:ilvl="0" w:tplc="BEA8EC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06EAF"/>
    <w:multiLevelType w:val="hybridMultilevel"/>
    <w:tmpl w:val="0A0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6507"/>
    <w:multiLevelType w:val="singleLevel"/>
    <w:tmpl w:val="13E0FA90"/>
    <w:lvl w:ilvl="0">
      <w:start w:val="1"/>
      <w:numFmt w:val="decimal"/>
      <w:lvlText w:val="%1."/>
      <w:lvlJc w:val="left"/>
      <w:pPr>
        <w:tabs>
          <w:tab w:val="num" w:pos="360"/>
        </w:tabs>
        <w:ind w:left="360" w:hanging="360"/>
      </w:pPr>
    </w:lvl>
  </w:abstractNum>
  <w:abstractNum w:abstractNumId="3">
    <w:nsid w:val="1AB846DA"/>
    <w:multiLevelType w:val="singleLevel"/>
    <w:tmpl w:val="D898F130"/>
    <w:lvl w:ilvl="0">
      <w:start w:val="1"/>
      <w:numFmt w:val="upperLetter"/>
      <w:lvlText w:val="%1."/>
      <w:lvlJc w:val="left"/>
      <w:pPr>
        <w:tabs>
          <w:tab w:val="num" w:pos="720"/>
        </w:tabs>
        <w:ind w:left="720" w:hanging="360"/>
      </w:pPr>
    </w:lvl>
  </w:abstractNum>
  <w:abstractNum w:abstractNumId="4">
    <w:nsid w:val="3BED274C"/>
    <w:multiLevelType w:val="hybridMultilevel"/>
    <w:tmpl w:val="985C82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FFE3FF8"/>
    <w:multiLevelType w:val="multilevel"/>
    <w:tmpl w:val="39D408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5A687F16"/>
    <w:multiLevelType w:val="multilevel"/>
    <w:tmpl w:val="96E095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937923"/>
    <w:multiLevelType w:val="hybridMultilevel"/>
    <w:tmpl w:val="871A9396"/>
    <w:lvl w:ilvl="0" w:tplc="84CC22B4">
      <w:start w:val="2"/>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643481E"/>
    <w:multiLevelType w:val="hybridMultilevel"/>
    <w:tmpl w:val="C8B41CD2"/>
    <w:lvl w:ilvl="0" w:tplc="84CC22B4">
      <w:start w:val="2"/>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num>
  <w:num w:numId="2">
    <w:abstractNumId w:val="3"/>
    <w:lvlOverride w:ilvl="0">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15"/>
    <w:rsid w:val="0034619D"/>
    <w:rsid w:val="005B2E15"/>
    <w:rsid w:val="00A142A2"/>
    <w:rsid w:val="00B2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2017-06-30T13:28:00Z</dcterms:created>
  <dcterms:modified xsi:type="dcterms:W3CDTF">2017-06-30T13:28:00Z</dcterms:modified>
</cp:coreProperties>
</file>