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15" w:rsidRDefault="005B2E15" w:rsidP="005B2E15">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5B16318D" wp14:editId="7D77CF67">
            <wp:extent cx="4498982"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5B2E15" w:rsidRDefault="001B36CF" w:rsidP="005B2E15">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5B2E15" w:rsidRDefault="005B2E15" w:rsidP="005B2E15">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2.</w:t>
      </w:r>
      <w:r>
        <w:rPr>
          <w:rFonts w:eastAsia="Times New Roman" w:cs="Times New Roman"/>
          <w:b/>
          <w:snapToGrid w:val="0"/>
          <w:color w:val="auto"/>
          <w:sz w:val="24"/>
          <w:szCs w:val="20"/>
        </w:rPr>
        <w:tab/>
        <w:t>GOVERNANCE AND BOARD PROCESSES</w:t>
      </w:r>
    </w:p>
    <w:p w:rsidR="005B2E15" w:rsidRDefault="005B2E15" w:rsidP="005B2E15">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2.A.</w:t>
      </w:r>
      <w:r>
        <w:rPr>
          <w:rFonts w:eastAsia="Times New Roman" w:cs="Times New Roman"/>
          <w:b/>
          <w:snapToGrid w:val="0"/>
          <w:color w:val="auto"/>
          <w:sz w:val="24"/>
          <w:szCs w:val="20"/>
        </w:rPr>
        <w:tab/>
        <w:t>BOARD OF DIRECTORS - ROLES AND RESPONSIBLITIES</w:t>
      </w:r>
    </w:p>
    <w:p w:rsidR="005B2E15" w:rsidRDefault="005B2E15" w:rsidP="005B2E15">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2.A.2</w:t>
      </w:r>
      <w:r>
        <w:rPr>
          <w:rFonts w:eastAsia="Times New Roman" w:cs="Times New Roman"/>
          <w:b/>
          <w:snapToGrid w:val="0"/>
          <w:color w:val="auto"/>
          <w:spacing w:val="-3"/>
          <w:sz w:val="24"/>
          <w:szCs w:val="20"/>
        </w:rPr>
        <w:tab/>
      </w:r>
      <w:proofErr w:type="gramStart"/>
      <w:r>
        <w:rPr>
          <w:rFonts w:eastAsia="Times New Roman" w:cs="Times New Roman"/>
          <w:b/>
          <w:i/>
          <w:snapToGrid w:val="0"/>
          <w:color w:val="auto"/>
          <w:spacing w:val="-3"/>
          <w:sz w:val="24"/>
          <w:szCs w:val="20"/>
        </w:rPr>
        <w:t>The</w:t>
      </w:r>
      <w:proofErr w:type="gramEnd"/>
      <w:r>
        <w:rPr>
          <w:rFonts w:eastAsia="Times New Roman" w:cs="Times New Roman"/>
          <w:b/>
          <w:snapToGrid w:val="0"/>
          <w:color w:val="auto"/>
          <w:spacing w:val="-3"/>
          <w:sz w:val="24"/>
          <w:szCs w:val="20"/>
        </w:rPr>
        <w:t xml:space="preserve"> </w:t>
      </w:r>
      <w:r>
        <w:rPr>
          <w:rFonts w:eastAsia="Times New Roman" w:cs="Times New Roman"/>
          <w:b/>
          <w:i/>
          <w:snapToGrid w:val="0"/>
          <w:color w:val="auto"/>
          <w:spacing w:val="-3"/>
          <w:sz w:val="24"/>
          <w:szCs w:val="20"/>
        </w:rPr>
        <w:t>Roles and Responsibilities of Board Officers</w:t>
      </w:r>
    </w:p>
    <w:p w:rsidR="005B2E15" w:rsidRDefault="005B2E15" w:rsidP="005B2E15">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 xml:space="preserve">Approved by Board of Directors – </w:t>
      </w:r>
      <w:r w:rsidR="001B36CF">
        <w:rPr>
          <w:rFonts w:eastAsia="Times New Roman" w:cs="Times New Roman"/>
          <w:snapToGrid w:val="0"/>
          <w:color w:val="auto"/>
          <w:spacing w:val="-3"/>
          <w:sz w:val="24"/>
          <w:szCs w:val="20"/>
        </w:rPr>
        <w:t>4/25/19</w:t>
      </w:r>
      <w:bookmarkStart w:id="0" w:name="_GoBack"/>
      <w:bookmarkEnd w:id="0"/>
    </w:p>
    <w:p w:rsidR="005B2E15" w:rsidRDefault="005B2E15" w:rsidP="005B2E15">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5B2E15" w:rsidRDefault="005B2E15" w:rsidP="005B2E15">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785C92CF" wp14:editId="1278FAB9">
                <wp:simplePos x="0" y="0"/>
                <wp:positionH relativeFrom="margin">
                  <wp:posOffset>0</wp:posOffset>
                </wp:positionH>
                <wp:positionV relativeFrom="paragraph">
                  <wp:posOffset>8890</wp:posOffset>
                </wp:positionV>
                <wp:extent cx="6830695" cy="45720"/>
                <wp:effectExtent l="0" t="0" r="825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7pt;width:537.8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1odQIAAPs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" o:allowincell="f" fillcolor="black" stroked="f" strokeweight=".05pt">
                <w10:wrap anchorx="margin"/>
              </v:rect>
            </w:pict>
          </mc:Fallback>
        </mc:AlternateContent>
      </w:r>
    </w:p>
    <w:p w:rsidR="005B2E15" w:rsidRDefault="005B2E15" w:rsidP="005B2E15">
      <w:pPr>
        <w:spacing w:after="0" w:line="240" w:lineRule="auto"/>
        <w:contextualSpacing/>
        <w:outlineLvl w:val="0"/>
        <w:rPr>
          <w:rFonts w:eastAsia="Times New Roman" w:cs="Arial"/>
          <w:color w:val="auto"/>
        </w:rPr>
      </w:pPr>
      <w:r>
        <w:rPr>
          <w:rFonts w:eastAsia="Times New Roman" w:cs="Arial"/>
          <w:color w:val="auto"/>
        </w:rPr>
        <w:t xml:space="preserve">The officers assure that Together SC’s governance is effective and accountable and the integrity of the board’s process and records.   </w:t>
      </w:r>
    </w:p>
    <w:p w:rsidR="005B2E15" w:rsidRDefault="005B2E15" w:rsidP="005B2E15">
      <w:pPr>
        <w:spacing w:after="0" w:line="240" w:lineRule="auto"/>
        <w:contextualSpacing/>
        <w:outlineLvl w:val="0"/>
        <w:rPr>
          <w:rFonts w:eastAsia="Times New Roman" w:cs="Arial"/>
          <w:color w:val="auto"/>
        </w:rPr>
      </w:pPr>
    </w:p>
    <w:p w:rsidR="005B2E15" w:rsidRDefault="005B2E15" w:rsidP="005B2E15">
      <w:pPr>
        <w:widowControl w:val="0"/>
        <w:numPr>
          <w:ilvl w:val="0"/>
          <w:numId w:val="1"/>
        </w:numPr>
        <w:spacing w:after="0" w:line="240" w:lineRule="auto"/>
        <w:contextualSpacing/>
        <w:rPr>
          <w:rFonts w:eastAsia="Times New Roman" w:cs="Arial"/>
          <w:color w:val="auto"/>
        </w:rPr>
      </w:pPr>
      <w:r>
        <w:rPr>
          <w:rFonts w:eastAsia="Times New Roman" w:cs="Arial"/>
          <w:color w:val="auto"/>
        </w:rPr>
        <w:t xml:space="preserve">The Chair assures the Board’s effectiveness and the integrity of the board’s process.  </w:t>
      </w:r>
    </w:p>
    <w:p w:rsidR="005B2E15" w:rsidRDefault="005B2E15" w:rsidP="005B2E15">
      <w:pPr>
        <w:widowControl w:val="0"/>
        <w:numPr>
          <w:ilvl w:val="0"/>
          <w:numId w:val="2"/>
        </w:numPr>
        <w:spacing w:after="0" w:line="240" w:lineRule="auto"/>
        <w:contextualSpacing/>
        <w:rPr>
          <w:rFonts w:eastAsia="Times New Roman" w:cs="Arial"/>
          <w:color w:val="auto"/>
        </w:rPr>
      </w:pPr>
      <w:r>
        <w:rPr>
          <w:rFonts w:eastAsia="Times New Roman" w:cs="Arial"/>
          <w:color w:val="auto"/>
        </w:rPr>
        <w:t>Board meetings must be consistent with good governance and the Board’s policy and bylaws.</w:t>
      </w:r>
    </w:p>
    <w:p w:rsidR="005B2E15" w:rsidRDefault="005B2E15" w:rsidP="005B2E15">
      <w:pPr>
        <w:widowControl w:val="0"/>
        <w:numPr>
          <w:ilvl w:val="0"/>
          <w:numId w:val="3"/>
        </w:numPr>
        <w:spacing w:after="0" w:line="240" w:lineRule="auto"/>
        <w:contextualSpacing/>
        <w:rPr>
          <w:rFonts w:eastAsia="Times New Roman" w:cs="Arial"/>
          <w:color w:val="auto"/>
        </w:rPr>
      </w:pPr>
      <w:r>
        <w:rPr>
          <w:rFonts w:eastAsia="Times New Roman" w:cs="Arial"/>
          <w:color w:val="auto"/>
        </w:rPr>
        <w:t>Meeting discussion content will be only those issues which belong to the board.</w:t>
      </w:r>
    </w:p>
    <w:p w:rsidR="005B2E15" w:rsidRDefault="005B2E15" w:rsidP="005B2E15">
      <w:pPr>
        <w:widowControl w:val="0"/>
        <w:numPr>
          <w:ilvl w:val="0"/>
          <w:numId w:val="3"/>
        </w:numPr>
        <w:spacing w:after="0" w:line="240" w:lineRule="auto"/>
        <w:contextualSpacing/>
        <w:rPr>
          <w:rFonts w:eastAsia="Times New Roman" w:cs="Arial"/>
          <w:color w:val="auto"/>
        </w:rPr>
      </w:pPr>
      <w:r>
        <w:rPr>
          <w:rFonts w:eastAsia="Times New Roman" w:cs="Arial"/>
          <w:color w:val="auto"/>
        </w:rPr>
        <w:t>Deliberation will be fair, open, and thorough, but also timely, orderly, and kept to the point.</w:t>
      </w:r>
    </w:p>
    <w:p w:rsidR="005B2E15" w:rsidRDefault="005B2E15" w:rsidP="005B2E15">
      <w:pPr>
        <w:widowControl w:val="0"/>
        <w:numPr>
          <w:ilvl w:val="0"/>
          <w:numId w:val="2"/>
        </w:numPr>
        <w:spacing w:after="0" w:line="240" w:lineRule="auto"/>
        <w:contextualSpacing/>
        <w:rPr>
          <w:rFonts w:eastAsia="Times New Roman" w:cs="Arial"/>
          <w:color w:val="auto"/>
        </w:rPr>
      </w:pPr>
      <w:r>
        <w:rPr>
          <w:rFonts w:eastAsia="Times New Roman" w:cs="Arial"/>
          <w:color w:val="auto"/>
        </w:rPr>
        <w:t>The Chair can make decisions and interpretations for the topics covered by board policies on Governance and Board Management Connection, except for employment or termination of the President, and where the board specifically delegates authority to others.  The Chair may use any reasonable interpretation of these policies.</w:t>
      </w:r>
    </w:p>
    <w:p w:rsidR="005B2E15" w:rsidRDefault="005B2E15" w:rsidP="005B2E15">
      <w:pPr>
        <w:widowControl w:val="0"/>
        <w:numPr>
          <w:ilvl w:val="2"/>
          <w:numId w:val="4"/>
        </w:numPr>
        <w:spacing w:after="0" w:line="240" w:lineRule="auto"/>
        <w:contextualSpacing/>
        <w:rPr>
          <w:rFonts w:eastAsia="Times New Roman" w:cs="Arial"/>
          <w:color w:val="auto"/>
        </w:rPr>
      </w:pPr>
      <w:r>
        <w:rPr>
          <w:rFonts w:eastAsia="Times New Roman" w:cs="Arial"/>
          <w:color w:val="auto"/>
        </w:rPr>
        <w:t>The Chair will chair board meetings with the commonly accepted power of that position, such as ruling and recognizing.</w:t>
      </w:r>
    </w:p>
    <w:p w:rsidR="005B2E15" w:rsidRDefault="005B2E15" w:rsidP="005B2E15">
      <w:pPr>
        <w:widowControl w:val="0"/>
        <w:numPr>
          <w:ilvl w:val="2"/>
          <w:numId w:val="4"/>
        </w:numPr>
        <w:spacing w:after="0" w:line="240" w:lineRule="auto"/>
        <w:contextualSpacing/>
        <w:rPr>
          <w:rFonts w:eastAsia="Times New Roman" w:cs="Arial"/>
          <w:color w:val="auto"/>
        </w:rPr>
      </w:pPr>
      <w:r>
        <w:rPr>
          <w:rFonts w:eastAsia="Times New Roman" w:cs="Arial"/>
          <w:color w:val="auto"/>
        </w:rPr>
        <w:t>Interpretation and implementation of Board policies on Mission &amp; Strategic Direction and Daily Operations are assigned to the President. The Chair has no authority to supervise or direct the President.</w:t>
      </w:r>
    </w:p>
    <w:p w:rsidR="005B2E15" w:rsidRDefault="005B2E15" w:rsidP="005B2E15">
      <w:pPr>
        <w:widowControl w:val="0"/>
        <w:numPr>
          <w:ilvl w:val="2"/>
          <w:numId w:val="4"/>
        </w:numPr>
        <w:spacing w:after="0" w:line="240" w:lineRule="auto"/>
        <w:contextualSpacing/>
        <w:rPr>
          <w:rFonts w:eastAsia="Times New Roman" w:cs="Arial"/>
          <w:color w:val="auto"/>
        </w:rPr>
      </w:pPr>
      <w:r>
        <w:rPr>
          <w:rFonts w:eastAsia="Times New Roman" w:cs="Arial"/>
          <w:color w:val="auto"/>
        </w:rPr>
        <w:t xml:space="preserve">The Chair may represent the board to outside parties in announcing board-stated positions and in stating Chair decisions and interpretations within the area delegated to her/him.  </w:t>
      </w:r>
    </w:p>
    <w:p w:rsidR="005B2E15" w:rsidRDefault="005B2E15" w:rsidP="005B2E15">
      <w:pPr>
        <w:widowControl w:val="0"/>
        <w:numPr>
          <w:ilvl w:val="2"/>
          <w:numId w:val="4"/>
        </w:numPr>
        <w:spacing w:after="0" w:line="240" w:lineRule="auto"/>
        <w:contextualSpacing/>
        <w:rPr>
          <w:rFonts w:eastAsia="Times New Roman" w:cs="Arial"/>
          <w:color w:val="auto"/>
        </w:rPr>
      </w:pPr>
      <w:r>
        <w:rPr>
          <w:rFonts w:eastAsia="Times New Roman" w:cs="Arial"/>
          <w:color w:val="auto"/>
        </w:rPr>
        <w:t>The Chair may appoint members and a Chair for each board committee, unless otherwise stipulated by the bylaws.</w:t>
      </w:r>
    </w:p>
    <w:p w:rsidR="005B2E15" w:rsidRDefault="005B2E15" w:rsidP="005B2E15">
      <w:pPr>
        <w:spacing w:after="0" w:line="240" w:lineRule="auto"/>
        <w:contextualSpacing/>
        <w:rPr>
          <w:rFonts w:eastAsia="Times New Roman" w:cs="Arial"/>
          <w:i/>
        </w:rPr>
      </w:pPr>
    </w:p>
    <w:p w:rsidR="005B2E15" w:rsidRDefault="005B2E15" w:rsidP="005B2E15">
      <w:pPr>
        <w:widowControl w:val="0"/>
        <w:numPr>
          <w:ilvl w:val="0"/>
          <w:numId w:val="5"/>
        </w:numPr>
        <w:spacing w:after="0" w:line="240" w:lineRule="auto"/>
        <w:ind w:left="360"/>
        <w:contextualSpacing/>
        <w:rPr>
          <w:rFonts w:eastAsia="Times New Roman" w:cs="Arial"/>
          <w:color w:val="auto"/>
        </w:rPr>
      </w:pPr>
      <w:r>
        <w:rPr>
          <w:rFonts w:eastAsia="Times New Roman" w:cs="Arial"/>
          <w:color w:val="auto"/>
        </w:rPr>
        <w:t xml:space="preserve">The </w:t>
      </w:r>
      <w:r w:rsidR="001B36CF">
        <w:rPr>
          <w:rFonts w:eastAsia="Times New Roman" w:cs="Arial"/>
          <w:color w:val="auto"/>
        </w:rPr>
        <w:t>Vice Chair</w:t>
      </w:r>
      <w:r>
        <w:rPr>
          <w:rFonts w:eastAsia="Times New Roman" w:cs="Arial"/>
          <w:color w:val="auto"/>
        </w:rPr>
        <w:t xml:space="preserve"> will serve as Chair in the absence of the Chair</w:t>
      </w:r>
      <w:r w:rsidR="001B36CF">
        <w:rPr>
          <w:rFonts w:eastAsia="Times New Roman" w:cs="Arial"/>
          <w:color w:val="auto"/>
        </w:rPr>
        <w:t xml:space="preserve"> and will be responsible for any special projects or initiatives which may be assigned to them by the Chair</w:t>
      </w:r>
      <w:r>
        <w:rPr>
          <w:rFonts w:eastAsia="Times New Roman" w:cs="Arial"/>
          <w:color w:val="auto"/>
        </w:rPr>
        <w:t>.</w:t>
      </w:r>
    </w:p>
    <w:p w:rsidR="005B2E15" w:rsidRDefault="005B2E15" w:rsidP="005B2E15">
      <w:pPr>
        <w:spacing w:after="0" w:line="240" w:lineRule="auto"/>
        <w:ind w:left="450" w:hanging="450"/>
        <w:contextualSpacing/>
        <w:rPr>
          <w:rFonts w:eastAsia="Times New Roman" w:cs="Arial"/>
          <w:color w:val="auto"/>
        </w:rPr>
      </w:pPr>
    </w:p>
    <w:p w:rsidR="005B2E15" w:rsidRPr="001B36CF" w:rsidRDefault="005B2E15" w:rsidP="001B36CF">
      <w:pPr>
        <w:widowControl w:val="0"/>
        <w:numPr>
          <w:ilvl w:val="0"/>
          <w:numId w:val="5"/>
        </w:numPr>
        <w:spacing w:after="0" w:line="240" w:lineRule="auto"/>
        <w:ind w:left="360"/>
        <w:contextualSpacing/>
        <w:rPr>
          <w:rFonts w:eastAsia="Times New Roman" w:cs="Arial"/>
          <w:color w:val="auto"/>
        </w:rPr>
      </w:pPr>
      <w:r>
        <w:rPr>
          <w:rFonts w:eastAsia="Times New Roman" w:cs="Arial"/>
          <w:color w:val="auto"/>
        </w:rPr>
        <w:t>The</w:t>
      </w:r>
      <w:r w:rsidR="001B36CF">
        <w:rPr>
          <w:rFonts w:eastAsia="Times New Roman" w:cs="Arial"/>
          <w:color w:val="auto"/>
        </w:rPr>
        <w:t xml:space="preserve"> Treasurer </w:t>
      </w:r>
      <w:r w:rsidRPr="001B36CF">
        <w:rPr>
          <w:rFonts w:eastAsia="Times New Roman" w:cs="Arial"/>
          <w:color w:val="auto"/>
        </w:rPr>
        <w:t>assures the integrity of Together SC finances in conformance with Board Policies. He/she</w:t>
      </w:r>
    </w:p>
    <w:p w:rsidR="005B2E15" w:rsidRDefault="005B2E15" w:rsidP="005B2E15">
      <w:pPr>
        <w:widowControl w:val="0"/>
        <w:numPr>
          <w:ilvl w:val="0"/>
          <w:numId w:val="7"/>
        </w:numPr>
        <w:spacing w:after="0" w:line="240" w:lineRule="auto"/>
        <w:ind w:left="1080"/>
        <w:contextualSpacing/>
        <w:rPr>
          <w:rFonts w:eastAsia="Times New Roman" w:cs="Arial"/>
          <w:color w:val="auto"/>
        </w:rPr>
      </w:pPr>
      <w:r>
        <w:rPr>
          <w:rFonts w:eastAsia="Times New Roman" w:cs="Arial"/>
          <w:color w:val="auto"/>
        </w:rPr>
        <w:t>Assists the President in the preparation of the annual budget and brings it to the Board at the June meeting for approval.</w:t>
      </w:r>
    </w:p>
    <w:p w:rsidR="005B2E15" w:rsidRDefault="005B2E15" w:rsidP="005B2E15">
      <w:pPr>
        <w:widowControl w:val="0"/>
        <w:numPr>
          <w:ilvl w:val="0"/>
          <w:numId w:val="7"/>
        </w:numPr>
        <w:spacing w:after="0" w:line="240" w:lineRule="auto"/>
        <w:ind w:left="1080"/>
        <w:contextualSpacing/>
        <w:rPr>
          <w:rFonts w:eastAsia="Times New Roman" w:cs="Arial"/>
          <w:color w:val="auto"/>
        </w:rPr>
      </w:pPr>
      <w:r>
        <w:rPr>
          <w:rFonts w:eastAsia="Times New Roman" w:cs="Arial"/>
          <w:color w:val="auto"/>
        </w:rPr>
        <w:t>Ensures Board members have accurate, understandable financial reports.</w:t>
      </w:r>
    </w:p>
    <w:p w:rsidR="001B36CF" w:rsidRDefault="005B2E15" w:rsidP="001B36CF">
      <w:pPr>
        <w:widowControl w:val="0"/>
        <w:numPr>
          <w:ilvl w:val="0"/>
          <w:numId w:val="7"/>
        </w:numPr>
        <w:spacing w:after="0" w:line="240" w:lineRule="auto"/>
        <w:ind w:left="1080"/>
        <w:contextualSpacing/>
        <w:rPr>
          <w:rFonts w:eastAsia="Times New Roman" w:cs="Arial"/>
          <w:color w:val="auto"/>
        </w:rPr>
      </w:pPr>
      <w:r>
        <w:rPr>
          <w:rFonts w:eastAsia="Times New Roman" w:cs="Arial"/>
          <w:color w:val="auto"/>
        </w:rPr>
        <w:t>Oversees the auditing process for Together SC financials.</w:t>
      </w:r>
    </w:p>
    <w:p w:rsidR="005B2E15" w:rsidRPr="001B36CF" w:rsidRDefault="005B2E15" w:rsidP="001B36CF">
      <w:pPr>
        <w:widowControl w:val="0"/>
        <w:numPr>
          <w:ilvl w:val="0"/>
          <w:numId w:val="7"/>
        </w:numPr>
        <w:spacing w:after="0" w:line="240" w:lineRule="auto"/>
        <w:ind w:left="1080"/>
        <w:contextualSpacing/>
        <w:rPr>
          <w:rFonts w:eastAsia="Times New Roman" w:cs="Arial"/>
          <w:color w:val="auto"/>
        </w:rPr>
      </w:pPr>
      <w:r w:rsidRPr="001B36CF">
        <w:rPr>
          <w:rFonts w:eastAsia="Times New Roman" w:cs="Arial"/>
          <w:color w:val="auto"/>
        </w:rPr>
        <w:t>Signs such documents as may require the signature of the Secretary/Treasurer.</w:t>
      </w:r>
    </w:p>
    <w:p w:rsidR="005B2E15" w:rsidRDefault="005B2E15" w:rsidP="005B2E15">
      <w:pPr>
        <w:widowControl w:val="0"/>
        <w:spacing w:after="0" w:line="240" w:lineRule="auto"/>
        <w:ind w:left="720"/>
        <w:rPr>
          <w:rFonts w:eastAsia="Times New Roman" w:cs="Arial"/>
          <w:color w:val="auto"/>
        </w:rPr>
      </w:pPr>
    </w:p>
    <w:p w:rsidR="005B2E15" w:rsidRDefault="005B2E15" w:rsidP="005B2E15">
      <w:pPr>
        <w:widowControl w:val="0"/>
        <w:numPr>
          <w:ilvl w:val="0"/>
          <w:numId w:val="5"/>
        </w:numPr>
        <w:spacing w:after="0" w:line="240" w:lineRule="auto"/>
        <w:ind w:left="360"/>
        <w:contextualSpacing/>
        <w:rPr>
          <w:rFonts w:eastAsia="Times New Roman" w:cs="Arial"/>
          <w:color w:val="auto"/>
        </w:rPr>
      </w:pPr>
      <w:r>
        <w:rPr>
          <w:rFonts w:eastAsia="Times New Roman" w:cs="Arial"/>
          <w:color w:val="auto"/>
        </w:rPr>
        <w:t>The Immediate Past Chair serves on the Executive Committee and offers continuity and counsel to the current chair.</w:t>
      </w:r>
    </w:p>
    <w:p w:rsidR="005B2E15" w:rsidRDefault="005B2E15" w:rsidP="005B2E15">
      <w:pPr>
        <w:widowControl w:val="0"/>
        <w:spacing w:after="0" w:line="240" w:lineRule="auto"/>
        <w:ind w:left="360"/>
        <w:contextualSpacing/>
        <w:rPr>
          <w:rFonts w:eastAsia="Times New Roman" w:cs="Arial"/>
          <w:color w:val="auto"/>
        </w:rPr>
      </w:pPr>
    </w:p>
    <w:p w:rsidR="005B2E15" w:rsidRDefault="005B2E15" w:rsidP="005B2E15">
      <w:pPr>
        <w:widowControl w:val="0"/>
        <w:numPr>
          <w:ilvl w:val="0"/>
          <w:numId w:val="5"/>
        </w:numPr>
        <w:spacing w:after="0" w:line="240" w:lineRule="auto"/>
        <w:ind w:left="360"/>
        <w:contextualSpacing/>
        <w:rPr>
          <w:rFonts w:eastAsia="Times New Roman" w:cs="Arial"/>
          <w:color w:val="auto"/>
        </w:rPr>
      </w:pPr>
      <w:r>
        <w:rPr>
          <w:rFonts w:eastAsia="Times New Roman" w:cs="Arial"/>
          <w:color w:val="auto"/>
        </w:rPr>
        <w:t>All board officers and committees are accountable to the Chair unless otherwise determined by board policy.</w:t>
      </w:r>
    </w:p>
    <w:p w:rsidR="0034619D" w:rsidRDefault="0034619D"/>
    <w:sectPr w:rsidR="0034619D" w:rsidSect="005B2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6507"/>
    <w:multiLevelType w:val="singleLevel"/>
    <w:tmpl w:val="13E0FA90"/>
    <w:lvl w:ilvl="0">
      <w:start w:val="1"/>
      <w:numFmt w:val="decimal"/>
      <w:lvlText w:val="%1."/>
      <w:lvlJc w:val="left"/>
      <w:pPr>
        <w:tabs>
          <w:tab w:val="num" w:pos="360"/>
        </w:tabs>
        <w:ind w:left="360" w:hanging="360"/>
      </w:pPr>
    </w:lvl>
  </w:abstractNum>
  <w:abstractNum w:abstractNumId="1">
    <w:nsid w:val="1AB846DA"/>
    <w:multiLevelType w:val="singleLevel"/>
    <w:tmpl w:val="D898F130"/>
    <w:lvl w:ilvl="0">
      <w:start w:val="1"/>
      <w:numFmt w:val="upperLetter"/>
      <w:lvlText w:val="%1."/>
      <w:lvlJc w:val="left"/>
      <w:pPr>
        <w:tabs>
          <w:tab w:val="num" w:pos="720"/>
        </w:tabs>
        <w:ind w:left="720" w:hanging="360"/>
      </w:pPr>
    </w:lvl>
  </w:abstractNum>
  <w:abstractNum w:abstractNumId="2">
    <w:nsid w:val="3BED274C"/>
    <w:multiLevelType w:val="hybridMultilevel"/>
    <w:tmpl w:val="985C82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3FFE3FF8"/>
    <w:multiLevelType w:val="multilevel"/>
    <w:tmpl w:val="39D408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5A687F16"/>
    <w:multiLevelType w:val="multilevel"/>
    <w:tmpl w:val="96E095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937923"/>
    <w:multiLevelType w:val="hybridMultilevel"/>
    <w:tmpl w:val="871A9396"/>
    <w:lvl w:ilvl="0" w:tplc="84CC22B4">
      <w:start w:val="2"/>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43481E"/>
    <w:multiLevelType w:val="hybridMultilevel"/>
    <w:tmpl w:val="C8B41CD2"/>
    <w:lvl w:ilvl="0" w:tplc="84CC22B4">
      <w:start w:val="2"/>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15"/>
    <w:rsid w:val="001B36CF"/>
    <w:rsid w:val="0034619D"/>
    <w:rsid w:val="005B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0" ma:contentTypeDescription="Create a new document." ma:contentTypeScope="" ma:versionID="8613eb00a26535bd67d3694fd61a0e5c">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c0584b61784fffb3715aad70092d2c69"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21E62-14E4-4708-994A-672176465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471886-2EC3-4125-8FD8-DD466D9E00AF}">
  <ds:schemaRefs>
    <ds:schemaRef ds:uri="http://schemas.microsoft.com/sharepoint/v3/contenttype/forms"/>
  </ds:schemaRefs>
</ds:datastoreItem>
</file>

<file path=customXml/itemProps3.xml><?xml version="1.0" encoding="utf-8"?>
<ds:datastoreItem xmlns:ds="http://schemas.openxmlformats.org/officeDocument/2006/customXml" ds:itemID="{6D857B8F-875A-4A61-A8BD-0F61215DF5B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officers assure that Together SC’s governance is effective and accountable a</vt:lpstr>
      <vt:lpstr/>
    </vt:vector>
  </TitlesOfParts>
  <Company>United Way of SC</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2017-06-30T13:27:00Z</dcterms:created>
  <dcterms:modified xsi:type="dcterms:W3CDTF">2019-04-30T15:06:00Z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