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DDB04" w14:textId="10DFB372" w:rsidR="00501568" w:rsidRPr="00501568" w:rsidRDefault="00501568" w:rsidP="00501568">
      <w:pPr>
        <w:spacing w:after="160" w:line="278" w:lineRule="auto"/>
        <w:jc w:val="center"/>
        <w:rPr>
          <w:rFonts w:ascii="Aptos" w:eastAsia="Calibri" w:hAnsi="Aptos" w:cs="Times New Roman"/>
          <w:kern w:val="2"/>
          <w14:ligatures w14:val="standardContextual"/>
        </w:rPr>
      </w:pPr>
      <w:r w:rsidRPr="00501568">
        <w:rPr>
          <w:rFonts w:ascii="Aptos" w:eastAsia="Calibri" w:hAnsi="Aptos" w:cs="Times New Roman"/>
          <w:b/>
          <w:bCs/>
          <w:kern w:val="2"/>
          <w14:ligatures w14:val="standardContextual"/>
        </w:rPr>
        <w:t>Third-Party Vendor Policy for Events</w:t>
      </w:r>
    </w:p>
    <w:p w14:paraId="6EA7F6E7" w14:textId="77777777" w:rsidR="00501568" w:rsidRPr="00501568" w:rsidRDefault="00501568" w:rsidP="00501568">
      <w:pPr>
        <w:spacing w:after="160" w:line="278" w:lineRule="auto"/>
        <w:rPr>
          <w:rFonts w:ascii="Aptos" w:eastAsia="Calibri" w:hAnsi="Aptos" w:cs="Times New Roman"/>
          <w:kern w:val="2"/>
          <w14:ligatures w14:val="standardContextual"/>
        </w:rPr>
      </w:pPr>
      <w:r w:rsidRPr="00501568">
        <w:rPr>
          <w:rFonts w:ascii="Aptos" w:eastAsia="Calibri" w:hAnsi="Aptos" w:cs="Times New Roman"/>
          <w:b/>
          <w:bCs/>
          <w:kern w:val="2"/>
          <w14:ligatures w14:val="standardContextual"/>
        </w:rPr>
        <w:t>Effective Date:</w:t>
      </w:r>
      <w:r w:rsidRPr="00501568">
        <w:rPr>
          <w:rFonts w:ascii="Aptos" w:eastAsia="Calibri" w:hAnsi="Aptos" w:cs="Times New Roman"/>
          <w:kern w:val="2"/>
          <w14:ligatures w14:val="standardContextual"/>
        </w:rPr>
        <w:t xml:space="preserve"> Tuesday, June 23, 2026</w:t>
      </w:r>
    </w:p>
    <w:p w14:paraId="3CB7DC93" w14:textId="77777777" w:rsidR="00501568" w:rsidRPr="00501568" w:rsidRDefault="00501568" w:rsidP="00501568">
      <w:pPr>
        <w:spacing w:after="160" w:line="278" w:lineRule="auto"/>
        <w:rPr>
          <w:rFonts w:ascii="Aptos" w:eastAsia="Calibri" w:hAnsi="Aptos" w:cs="Times New Roman"/>
          <w:kern w:val="2"/>
          <w14:ligatures w14:val="standardContextual"/>
        </w:rPr>
      </w:pPr>
      <w:r w:rsidRPr="00501568">
        <w:rPr>
          <w:rFonts w:ascii="Aptos" w:eastAsia="Calibri" w:hAnsi="Aptos" w:cs="Times New Roman"/>
          <w:b/>
          <w:bCs/>
          <w:kern w:val="2"/>
          <w14:ligatures w14:val="standardContextual"/>
        </w:rPr>
        <w:t xml:space="preserve">Purpose: </w:t>
      </w:r>
      <w:r w:rsidRPr="00501568">
        <w:rPr>
          <w:rFonts w:ascii="Aptos" w:eastAsia="Calibri" w:hAnsi="Aptos" w:cs="Times New Roman"/>
          <w:kern w:val="2"/>
          <w14:ligatures w14:val="standardContextual"/>
        </w:rPr>
        <w:t xml:space="preserve">This policy establishes requirements for attendees, sponsors, exhibitors, and other participants who wish to retain or utilize the services of any third-party vendor, contractor, or service provider in connection with a SEFAA event. The purpose of this policy is to allow flexibility in event participation while protecting SEFAA from liability, property damage, safety risks, and other </w:t>
      </w:r>
      <w:proofErr w:type="gramStart"/>
      <w:r w:rsidRPr="00501568">
        <w:rPr>
          <w:rFonts w:ascii="Aptos" w:eastAsia="Calibri" w:hAnsi="Aptos" w:cs="Times New Roman"/>
          <w:kern w:val="2"/>
          <w14:ligatures w14:val="standardContextual"/>
        </w:rPr>
        <w:t>harms</w:t>
      </w:r>
      <w:proofErr w:type="gramEnd"/>
      <w:r w:rsidRPr="00501568">
        <w:rPr>
          <w:rFonts w:ascii="Aptos" w:eastAsia="Calibri" w:hAnsi="Aptos" w:cs="Times New Roman"/>
          <w:kern w:val="2"/>
          <w14:ligatures w14:val="standardContextual"/>
        </w:rPr>
        <w:t xml:space="preserve"> arising from the acts or omissions of vendors not directly retained, vetted, or supervised by SEFAA.</w:t>
      </w:r>
    </w:p>
    <w:p w14:paraId="7495D987" w14:textId="77777777" w:rsidR="00501568" w:rsidRPr="00501568" w:rsidRDefault="00501568" w:rsidP="00501568">
      <w:pPr>
        <w:spacing w:after="160" w:line="278" w:lineRule="auto"/>
        <w:rPr>
          <w:rFonts w:ascii="Aptos" w:eastAsia="Calibri" w:hAnsi="Aptos" w:cs="Times New Roman"/>
          <w:b/>
          <w:bCs/>
          <w:kern w:val="2"/>
          <w14:ligatures w14:val="standardContextual"/>
        </w:rPr>
      </w:pPr>
      <w:r w:rsidRPr="00501568">
        <w:rPr>
          <w:rFonts w:ascii="Aptos" w:eastAsia="Calibri" w:hAnsi="Aptos" w:cs="Times New Roman"/>
          <w:b/>
          <w:bCs/>
          <w:kern w:val="2"/>
          <w14:ligatures w14:val="standardContextual"/>
        </w:rPr>
        <w:t xml:space="preserve">1. Scope: </w:t>
      </w:r>
      <w:r w:rsidRPr="00501568">
        <w:rPr>
          <w:rFonts w:ascii="Aptos" w:eastAsia="Calibri" w:hAnsi="Aptos" w:cs="Times New Roman"/>
          <w:kern w:val="2"/>
          <w14:ligatures w14:val="standardContextual"/>
        </w:rPr>
        <w:t>This policy applies to all SEFAA event attendees, sponsors, exhibitors, guests, and participants who wish to engage, allow, or permit any third-party vendor, contractor, or service provider (collectively, a “Third-Party Vendor”) to provide services in connection with a SEFAA event or on event premises. This policy applies whether the Third-Party Vendor is engaged directly by the attendee, sponsor, exhibitor, or any related party.</w:t>
      </w:r>
    </w:p>
    <w:p w14:paraId="33C6FFFD" w14:textId="77777777" w:rsidR="00501568" w:rsidRPr="00501568" w:rsidRDefault="00501568" w:rsidP="00501568">
      <w:pPr>
        <w:spacing w:after="160" w:line="278" w:lineRule="auto"/>
        <w:rPr>
          <w:rFonts w:ascii="Aptos" w:eastAsia="Calibri" w:hAnsi="Aptos" w:cs="Times New Roman"/>
          <w:b/>
          <w:bCs/>
          <w:kern w:val="2"/>
          <w14:ligatures w14:val="standardContextual"/>
        </w:rPr>
      </w:pPr>
      <w:r w:rsidRPr="00501568">
        <w:rPr>
          <w:rFonts w:ascii="Aptos" w:eastAsia="Calibri" w:hAnsi="Aptos" w:cs="Times New Roman"/>
          <w:b/>
          <w:bCs/>
          <w:kern w:val="2"/>
          <w14:ligatures w14:val="standardContextual"/>
        </w:rPr>
        <w:t xml:space="preserve">2. Advance Notice and Approval: </w:t>
      </w:r>
      <w:r w:rsidRPr="00501568">
        <w:rPr>
          <w:rFonts w:ascii="Aptos" w:eastAsia="Calibri" w:hAnsi="Aptos" w:cs="Times New Roman"/>
          <w:kern w:val="2"/>
          <w14:ligatures w14:val="standardContextual"/>
        </w:rPr>
        <w:t>Any person or entity intending to use a Third-Party Vendor must provide written notice to SEFAA in advance of the event, and in no event later than ten (10) business days before the event unless SEFAA agrees otherwise in writing. Notice must include the vendor’s name, contact information, description of services, dates and times of service, and the identity of the person or entity retaining the vendor. SEFAA reserves the right, in its sole discretion, to approve, conditionally approve, deny, or revoke approval of any Third-Party Vendor based on safety, insurance, venue requirements, logistics, exclusivity agreements, or any other reasonable business or operational concern.</w:t>
      </w:r>
    </w:p>
    <w:p w14:paraId="74574EC5" w14:textId="77777777" w:rsidR="00501568" w:rsidRPr="00501568" w:rsidRDefault="00501568" w:rsidP="00501568">
      <w:pPr>
        <w:spacing w:after="160" w:line="278" w:lineRule="auto"/>
        <w:rPr>
          <w:rFonts w:ascii="Aptos" w:eastAsia="Calibri" w:hAnsi="Aptos" w:cs="Times New Roman"/>
          <w:b/>
          <w:bCs/>
          <w:kern w:val="2"/>
          <w14:ligatures w14:val="standardContextual"/>
        </w:rPr>
      </w:pPr>
      <w:r w:rsidRPr="00501568">
        <w:rPr>
          <w:rFonts w:ascii="Aptos" w:eastAsia="Calibri" w:hAnsi="Aptos" w:cs="Times New Roman"/>
          <w:b/>
          <w:bCs/>
          <w:kern w:val="2"/>
          <w14:ligatures w14:val="standardContextual"/>
        </w:rPr>
        <w:t xml:space="preserve">3. Insurance Requirements: </w:t>
      </w:r>
      <w:r w:rsidRPr="00501568">
        <w:rPr>
          <w:rFonts w:ascii="Aptos" w:eastAsia="Calibri" w:hAnsi="Aptos" w:cs="Times New Roman"/>
          <w:kern w:val="2"/>
          <w14:ligatures w14:val="standardContextual"/>
        </w:rPr>
        <w:t xml:space="preserve">As a condition of approval, each Third-Party Vendor must provide a valid certificate of insurance no later than five (5) business days prior to the event, together with </w:t>
      </w:r>
      <w:proofErr w:type="gramStart"/>
      <w:r w:rsidRPr="00501568">
        <w:rPr>
          <w:rFonts w:ascii="Aptos" w:eastAsia="Calibri" w:hAnsi="Aptos" w:cs="Times New Roman"/>
          <w:kern w:val="2"/>
          <w14:ligatures w14:val="standardContextual"/>
        </w:rPr>
        <w:t>evidence of</w:t>
      </w:r>
      <w:proofErr w:type="gramEnd"/>
      <w:r w:rsidRPr="00501568">
        <w:rPr>
          <w:rFonts w:ascii="Aptos" w:eastAsia="Calibri" w:hAnsi="Aptos" w:cs="Times New Roman"/>
          <w:kern w:val="2"/>
          <w14:ligatures w14:val="standardContextual"/>
        </w:rPr>
        <w:t xml:space="preserve"> that SEFAA is covered and listed as an </w:t>
      </w:r>
      <w:r w:rsidRPr="00501568">
        <w:rPr>
          <w:rFonts w:ascii="Aptos" w:eastAsia="Calibri" w:hAnsi="Aptos" w:cs="Times New Roman"/>
          <w:b/>
          <w:bCs/>
          <w:kern w:val="2"/>
          <w14:ligatures w14:val="standardContextual"/>
        </w:rPr>
        <w:t xml:space="preserve">Additional Insured </w:t>
      </w:r>
      <w:r w:rsidRPr="00501568">
        <w:rPr>
          <w:rFonts w:ascii="Aptos" w:eastAsia="Calibri" w:hAnsi="Aptos" w:cs="Times New Roman"/>
          <w:kern w:val="2"/>
          <w14:ligatures w14:val="standardContextual"/>
        </w:rPr>
        <w:t>covered under the policy. Unless SEFAA approves otherwise in writing, each Third-Party Vendor must also maintain:</w:t>
      </w:r>
      <w:r w:rsidRPr="00501568">
        <w:rPr>
          <w:rFonts w:ascii="Aptos" w:eastAsia="Calibri" w:hAnsi="Aptos" w:cs="Times New Roman"/>
          <w:kern w:val="2"/>
          <w14:ligatures w14:val="standardContextual"/>
        </w:rPr>
        <w:br/>
        <w:t>(a) Commercial General Liability coverage of not less than $1,000,000 per occurrence and $2,000,000 aggregate;</w:t>
      </w:r>
      <w:r w:rsidRPr="00501568">
        <w:rPr>
          <w:rFonts w:ascii="Aptos" w:eastAsia="Calibri" w:hAnsi="Aptos" w:cs="Times New Roman"/>
          <w:kern w:val="2"/>
          <w14:ligatures w14:val="standardContextual"/>
        </w:rPr>
        <w:br/>
      </w:r>
      <w:r w:rsidRPr="00501568">
        <w:rPr>
          <w:rFonts w:ascii="Aptos" w:eastAsia="Calibri" w:hAnsi="Aptos" w:cs="Times New Roman"/>
          <w:kern w:val="2"/>
          <w14:ligatures w14:val="standardContextual"/>
        </w:rPr>
        <w:lastRenderedPageBreak/>
        <w:t>(b) Workers’ Compensation coverage as required by applicable law;</w:t>
      </w:r>
      <w:r w:rsidRPr="00501568">
        <w:rPr>
          <w:rFonts w:ascii="Aptos" w:eastAsia="Calibri" w:hAnsi="Aptos" w:cs="Times New Roman"/>
          <w:kern w:val="2"/>
          <w14:ligatures w14:val="standardContextual"/>
        </w:rPr>
        <w:br/>
        <w:t>(c) Automobile Liability coverage if vehicles are used in connection with the services; and</w:t>
      </w:r>
      <w:r w:rsidRPr="00501568">
        <w:rPr>
          <w:rFonts w:ascii="Aptos" w:eastAsia="Calibri" w:hAnsi="Aptos" w:cs="Times New Roman"/>
          <w:kern w:val="2"/>
          <w14:ligatures w14:val="standardContextual"/>
        </w:rPr>
        <w:br/>
        <w:t>(d) such other coverage as SEFAA may reasonably require based on the nature of the services.</w:t>
      </w:r>
      <w:r w:rsidRPr="00501568">
        <w:rPr>
          <w:rFonts w:ascii="Aptos" w:eastAsia="Calibri" w:hAnsi="Aptos" w:cs="Times New Roman"/>
          <w:kern w:val="2"/>
          <w14:ligatures w14:val="standardContextual"/>
        </w:rPr>
        <w:br/>
        <w:t xml:space="preserve">A certificate of insurance alone is not sufficient if the required additional insured endorsement is not provided. Failure to provide an acceptable Certificate of Insurance in compliance with the above may result in denial of vendor access to the event. </w:t>
      </w:r>
    </w:p>
    <w:p w14:paraId="5475CECE" w14:textId="77777777" w:rsidR="00501568" w:rsidRPr="00501568" w:rsidRDefault="00501568" w:rsidP="00501568">
      <w:pPr>
        <w:spacing w:after="160" w:line="278" w:lineRule="auto"/>
        <w:rPr>
          <w:rFonts w:ascii="Aptos" w:eastAsia="Calibri" w:hAnsi="Aptos" w:cs="Times New Roman"/>
          <w:b/>
          <w:bCs/>
          <w:kern w:val="2"/>
          <w14:ligatures w14:val="standardContextual"/>
        </w:rPr>
      </w:pPr>
      <w:r w:rsidRPr="00501568">
        <w:rPr>
          <w:rFonts w:ascii="Aptos" w:eastAsia="Calibri" w:hAnsi="Aptos" w:cs="Times New Roman"/>
          <w:b/>
          <w:bCs/>
          <w:kern w:val="2"/>
          <w14:ligatures w14:val="standardContextual"/>
        </w:rPr>
        <w:t xml:space="preserve">4. Independent Contractor Status: </w:t>
      </w:r>
      <w:r w:rsidRPr="00501568">
        <w:rPr>
          <w:rFonts w:ascii="Aptos" w:eastAsia="Calibri" w:hAnsi="Aptos" w:cs="Times New Roman"/>
          <w:kern w:val="2"/>
          <w14:ligatures w14:val="standardContextual"/>
        </w:rPr>
        <w:t>All Third-Party Vendors are independent contractors of the contracting attendee (or other contracting party) and are not employees, agents, partners, joint venturers, representatives, or affiliates of SEFAA. SEFAA does not supervise, direct, control, or endorse any Third-Party Vendor, and SEFAA assumes no responsibility for the vendor’s wages, taxes, benefits, insurance, permits, licensing, performance, negligence, damages, or compliance with any law.</w:t>
      </w:r>
    </w:p>
    <w:p w14:paraId="468B9CC3" w14:textId="77777777" w:rsidR="00501568" w:rsidRPr="00501568" w:rsidRDefault="00501568" w:rsidP="00501568">
      <w:pPr>
        <w:spacing w:after="160" w:line="278" w:lineRule="auto"/>
        <w:rPr>
          <w:rFonts w:ascii="Aptos" w:eastAsia="Calibri" w:hAnsi="Aptos" w:cs="Times New Roman"/>
          <w:b/>
          <w:bCs/>
          <w:kern w:val="2"/>
          <w14:ligatures w14:val="standardContextual"/>
        </w:rPr>
      </w:pPr>
      <w:r w:rsidRPr="00501568">
        <w:rPr>
          <w:rFonts w:ascii="Aptos" w:eastAsia="Calibri" w:hAnsi="Aptos" w:cs="Times New Roman"/>
          <w:b/>
          <w:bCs/>
          <w:kern w:val="2"/>
          <w14:ligatures w14:val="standardContextual"/>
        </w:rPr>
        <w:t xml:space="preserve">5. Responsibility of Contracting Party: </w:t>
      </w:r>
      <w:r w:rsidRPr="00501568">
        <w:rPr>
          <w:rFonts w:ascii="Aptos" w:eastAsia="Calibri" w:hAnsi="Aptos" w:cs="Times New Roman"/>
          <w:kern w:val="2"/>
          <w14:ligatures w14:val="standardContextual"/>
        </w:rPr>
        <w:t>The person or entity engaging the Third-Party Vendor is solely responsible for ensuring that the vendor complies with this policy and all applicable laws, venue rules, and SEFAA requirements. That person or entity must require the vendor to acknowledge and agree to this policy before the vendor is permitted onsite. To the fullest extent permitted by law, the contracting party agrees to indemnify, defend, and hold harmless SEFAA, its officers, directors, employees, agents, and volunteers from and against all claims, liabilities, damages, losses, penalties, fines, costs, and expenses, including reasonable attorneys’ fees, arising out of or related to the vendor’s presence, conduct, services, equipment, acts, or omissions.</w:t>
      </w:r>
    </w:p>
    <w:p w14:paraId="7509BC34" w14:textId="77777777" w:rsidR="00501568" w:rsidRPr="00501568" w:rsidRDefault="00501568" w:rsidP="00501568">
      <w:pPr>
        <w:spacing w:after="160" w:line="278" w:lineRule="auto"/>
        <w:rPr>
          <w:rFonts w:ascii="Aptos" w:eastAsia="Calibri" w:hAnsi="Aptos" w:cs="Times New Roman"/>
          <w:b/>
          <w:bCs/>
          <w:kern w:val="2"/>
          <w14:ligatures w14:val="standardContextual"/>
        </w:rPr>
      </w:pPr>
      <w:r w:rsidRPr="00501568">
        <w:rPr>
          <w:rFonts w:ascii="Aptos" w:eastAsia="Calibri" w:hAnsi="Aptos" w:cs="Times New Roman"/>
          <w:b/>
          <w:bCs/>
          <w:kern w:val="2"/>
          <w14:ligatures w14:val="standardContextual"/>
        </w:rPr>
        <w:t xml:space="preserve">6. Compliance with Law and Rules: </w:t>
      </w:r>
      <w:r w:rsidRPr="00501568">
        <w:rPr>
          <w:rFonts w:ascii="Aptos" w:eastAsia="Calibri" w:hAnsi="Aptos" w:cs="Times New Roman"/>
          <w:kern w:val="2"/>
          <w14:ligatures w14:val="standardContextual"/>
        </w:rPr>
        <w:t>All Third-Party Vendors must comply with all applicable federal, state, and local laws, regulations, ordinances, health rules, licensing requirements, and venue rules, as well as any SEFAA event policies or instructions. The vendor and the contracting party are responsible for obtaining all permits, approvals, and licenses necessary for the vendor’s services.</w:t>
      </w:r>
    </w:p>
    <w:p w14:paraId="11860F27" w14:textId="77777777" w:rsidR="00501568" w:rsidRPr="00501568" w:rsidRDefault="00501568" w:rsidP="00501568">
      <w:pPr>
        <w:spacing w:after="160" w:line="278" w:lineRule="auto"/>
        <w:rPr>
          <w:rFonts w:ascii="Aptos" w:eastAsia="Calibri" w:hAnsi="Aptos" w:cs="Times New Roman"/>
          <w:b/>
          <w:bCs/>
          <w:kern w:val="2"/>
          <w14:ligatures w14:val="standardContextual"/>
        </w:rPr>
      </w:pPr>
      <w:r w:rsidRPr="00501568">
        <w:rPr>
          <w:rFonts w:ascii="Aptos" w:eastAsia="Calibri" w:hAnsi="Aptos" w:cs="Times New Roman"/>
          <w:b/>
          <w:bCs/>
          <w:kern w:val="2"/>
          <w14:ligatures w14:val="standardContextual"/>
        </w:rPr>
        <w:lastRenderedPageBreak/>
        <w:t xml:space="preserve">7. Safety and Removal: </w:t>
      </w:r>
      <w:r w:rsidRPr="00501568">
        <w:rPr>
          <w:rFonts w:ascii="Aptos" w:eastAsia="Calibri" w:hAnsi="Aptos" w:cs="Times New Roman"/>
          <w:kern w:val="2"/>
          <w14:ligatures w14:val="standardContextual"/>
        </w:rPr>
        <w:t xml:space="preserve">SEFAA reserves the right to refuse entry to, conditionally approve, suspend, or remove any Third-Party Vendor from the event or premises at any time if SEFAA determines, in its sole discretion, that the vendor presents a safety risk, disrupts event operations, fails to comply with this policy or venue requirements, lacks required documentation, or otherwise is not suitable for the event. No refund, credit, or other compensation will be owed by SEFAA </w:t>
      </w:r>
      <w:proofErr w:type="gramStart"/>
      <w:r w:rsidRPr="00501568">
        <w:rPr>
          <w:rFonts w:ascii="Aptos" w:eastAsia="Calibri" w:hAnsi="Aptos" w:cs="Times New Roman"/>
          <w:kern w:val="2"/>
          <w14:ligatures w14:val="standardContextual"/>
        </w:rPr>
        <w:t>as a result of</w:t>
      </w:r>
      <w:proofErr w:type="gramEnd"/>
      <w:r w:rsidRPr="00501568">
        <w:rPr>
          <w:rFonts w:ascii="Aptos" w:eastAsia="Calibri" w:hAnsi="Aptos" w:cs="Times New Roman"/>
          <w:kern w:val="2"/>
          <w14:ligatures w14:val="standardContextual"/>
        </w:rPr>
        <w:t xml:space="preserve"> any such decision.</w:t>
      </w:r>
    </w:p>
    <w:p w14:paraId="5F00132C" w14:textId="77777777" w:rsidR="00501568" w:rsidRPr="00501568" w:rsidRDefault="00501568" w:rsidP="00501568">
      <w:pPr>
        <w:spacing w:after="160" w:line="278" w:lineRule="auto"/>
        <w:rPr>
          <w:rFonts w:ascii="Aptos" w:eastAsia="Calibri" w:hAnsi="Aptos" w:cs="Times New Roman"/>
          <w:b/>
          <w:bCs/>
          <w:kern w:val="2"/>
          <w14:ligatures w14:val="standardContextual"/>
        </w:rPr>
      </w:pPr>
      <w:r w:rsidRPr="00501568">
        <w:rPr>
          <w:rFonts w:ascii="Aptos" w:eastAsia="Calibri" w:hAnsi="Aptos" w:cs="Times New Roman"/>
          <w:b/>
          <w:bCs/>
          <w:kern w:val="2"/>
          <w14:ligatures w14:val="standardContextual"/>
        </w:rPr>
        <w:t xml:space="preserve">8. Equipment and Property: </w:t>
      </w:r>
      <w:r w:rsidRPr="00501568">
        <w:rPr>
          <w:rFonts w:ascii="Aptos" w:eastAsia="Calibri" w:hAnsi="Aptos" w:cs="Times New Roman"/>
          <w:kern w:val="2"/>
          <w14:ligatures w14:val="standardContextual"/>
        </w:rPr>
        <w:t xml:space="preserve">SEFAA is not responsible for loss, theft, damage, storage, guarding, or handling of any equipment, materials, inventory, or personal property belonging to a Third-Party Vendor. The contracting party and vendor are solely responsible for all property brought to the event and for </w:t>
      </w:r>
      <w:proofErr w:type="gramStart"/>
      <w:r w:rsidRPr="00501568">
        <w:rPr>
          <w:rFonts w:ascii="Aptos" w:eastAsia="Calibri" w:hAnsi="Aptos" w:cs="Times New Roman"/>
          <w:kern w:val="2"/>
          <w14:ligatures w14:val="standardContextual"/>
        </w:rPr>
        <w:t>securing their equipment at all times</w:t>
      </w:r>
      <w:proofErr w:type="gramEnd"/>
      <w:r w:rsidRPr="00501568">
        <w:rPr>
          <w:rFonts w:ascii="Aptos" w:eastAsia="Calibri" w:hAnsi="Aptos" w:cs="Times New Roman"/>
          <w:kern w:val="2"/>
          <w14:ligatures w14:val="standardContextual"/>
        </w:rPr>
        <w:t>.</w:t>
      </w:r>
    </w:p>
    <w:p w14:paraId="20EC6E2E" w14:textId="77777777" w:rsidR="00501568" w:rsidRPr="00501568" w:rsidRDefault="00501568" w:rsidP="00501568">
      <w:pPr>
        <w:spacing w:after="160" w:line="278" w:lineRule="auto"/>
        <w:rPr>
          <w:rFonts w:ascii="Aptos" w:eastAsia="Calibri" w:hAnsi="Aptos" w:cs="Times New Roman"/>
          <w:b/>
          <w:bCs/>
          <w:kern w:val="2"/>
          <w14:ligatures w14:val="standardContextual"/>
        </w:rPr>
      </w:pPr>
      <w:r w:rsidRPr="00501568">
        <w:rPr>
          <w:rFonts w:ascii="Aptos" w:eastAsia="Calibri" w:hAnsi="Aptos" w:cs="Times New Roman"/>
          <w:b/>
          <w:bCs/>
          <w:kern w:val="2"/>
          <w14:ligatures w14:val="standardContextual"/>
        </w:rPr>
        <w:t xml:space="preserve">9. Use of Space and Branding: </w:t>
      </w:r>
      <w:r w:rsidRPr="00501568">
        <w:rPr>
          <w:rFonts w:ascii="Aptos" w:eastAsia="Calibri" w:hAnsi="Aptos" w:cs="Times New Roman"/>
          <w:kern w:val="2"/>
          <w14:ligatures w14:val="standardContextual"/>
        </w:rPr>
        <w:t>Third-Party Vendors must operate only within the space allocated to the contracting attendee or sponsor unless SEFAA gives prior written approval otherwise. Vendors may not use SEFAA’s name, logos, trademarks, event branding, or any SEFAA-related marks without prior written permission. Unauthorized solicitation, branding, signage, marketing, or the appearance of endorsement by SEFAA is prohibited.</w:t>
      </w:r>
    </w:p>
    <w:p w14:paraId="294BA378" w14:textId="77777777" w:rsidR="00501568" w:rsidRPr="00501568" w:rsidRDefault="00501568" w:rsidP="00501568">
      <w:pPr>
        <w:spacing w:after="160" w:line="278" w:lineRule="auto"/>
        <w:rPr>
          <w:rFonts w:ascii="Aptos" w:eastAsia="Calibri" w:hAnsi="Aptos" w:cs="Times New Roman"/>
          <w:b/>
          <w:bCs/>
          <w:kern w:val="2"/>
          <w14:ligatures w14:val="standardContextual"/>
        </w:rPr>
      </w:pPr>
      <w:r w:rsidRPr="00501568">
        <w:rPr>
          <w:rFonts w:ascii="Aptos" w:eastAsia="Calibri" w:hAnsi="Aptos" w:cs="Times New Roman"/>
          <w:b/>
          <w:bCs/>
          <w:kern w:val="2"/>
          <w14:ligatures w14:val="standardContextual"/>
        </w:rPr>
        <w:t xml:space="preserve">10. Food, Beverage, Alcohol, and Specialized Services: </w:t>
      </w:r>
      <w:r w:rsidRPr="00501568">
        <w:rPr>
          <w:rFonts w:ascii="Aptos" w:eastAsia="Calibri" w:hAnsi="Aptos" w:cs="Times New Roman"/>
          <w:kern w:val="2"/>
          <w14:ligatures w14:val="standardContextual"/>
        </w:rPr>
        <w:t>Any Third-Party Vendor providing food, beverage, alcohol, tenting, electrical, staging, beach or outdoor equipment, amusement-type services, massage, photography, videography, or other regulated or higher-risk services must receive prior written approval from SEFAA. Such vendors must also comply with all applicable health, safety, permitting, licensing, venue, and exclusivity requirements, and may be subject to additional insurance or documentation requirements as a condition of approval.</w:t>
      </w:r>
    </w:p>
    <w:p w14:paraId="55CAF461" w14:textId="77777777" w:rsidR="00501568" w:rsidRPr="00501568" w:rsidRDefault="00501568" w:rsidP="00501568">
      <w:pPr>
        <w:spacing w:after="160" w:line="278" w:lineRule="auto"/>
        <w:rPr>
          <w:rFonts w:ascii="Aptos" w:eastAsia="Calibri" w:hAnsi="Aptos" w:cs="Times New Roman"/>
          <w:b/>
          <w:bCs/>
          <w:kern w:val="2"/>
          <w14:ligatures w14:val="standardContextual"/>
        </w:rPr>
      </w:pPr>
      <w:r w:rsidRPr="00501568">
        <w:rPr>
          <w:rFonts w:ascii="Aptos" w:eastAsia="Calibri" w:hAnsi="Aptos" w:cs="Times New Roman"/>
          <w:b/>
          <w:bCs/>
          <w:kern w:val="2"/>
          <w14:ligatures w14:val="standardContextual"/>
        </w:rPr>
        <w:t xml:space="preserve">11. Damage to Venue or Property: </w:t>
      </w:r>
      <w:r w:rsidRPr="00501568">
        <w:rPr>
          <w:rFonts w:ascii="Aptos" w:eastAsia="Calibri" w:hAnsi="Aptos" w:cs="Times New Roman"/>
          <w:kern w:val="2"/>
          <w14:ligatures w14:val="standardContextual"/>
        </w:rPr>
        <w:t xml:space="preserve">The contracting party and the Third-Party Vendor shall be jointly and severally responsible for any damage to the venue, event property, or third-party property caused by the vendor’s activities, equipment, or personnel, ordinary wear and tear excepted. SEFAA may invoice the contracting party for any such damage or costs incurred </w:t>
      </w:r>
      <w:proofErr w:type="gramStart"/>
      <w:r w:rsidRPr="00501568">
        <w:rPr>
          <w:rFonts w:ascii="Aptos" w:eastAsia="Calibri" w:hAnsi="Aptos" w:cs="Times New Roman"/>
          <w:kern w:val="2"/>
          <w14:ligatures w14:val="standardContextual"/>
        </w:rPr>
        <w:t>as a result of</w:t>
      </w:r>
      <w:proofErr w:type="gramEnd"/>
      <w:r w:rsidRPr="00501568">
        <w:rPr>
          <w:rFonts w:ascii="Aptos" w:eastAsia="Calibri" w:hAnsi="Aptos" w:cs="Times New Roman"/>
          <w:kern w:val="2"/>
          <w14:ligatures w14:val="standardContextual"/>
        </w:rPr>
        <w:t xml:space="preserve"> the vendor’s presence or services.</w:t>
      </w:r>
    </w:p>
    <w:p w14:paraId="660E1982" w14:textId="77777777" w:rsidR="00501568" w:rsidRPr="00501568" w:rsidRDefault="00501568" w:rsidP="00501568">
      <w:pPr>
        <w:spacing w:after="160" w:line="278" w:lineRule="auto"/>
        <w:rPr>
          <w:rFonts w:ascii="Aptos" w:eastAsia="Calibri" w:hAnsi="Aptos" w:cs="Times New Roman"/>
          <w:b/>
          <w:bCs/>
          <w:kern w:val="2"/>
          <w14:ligatures w14:val="standardContextual"/>
        </w:rPr>
      </w:pPr>
      <w:r w:rsidRPr="00501568">
        <w:rPr>
          <w:rFonts w:ascii="Aptos" w:eastAsia="Calibri" w:hAnsi="Aptos" w:cs="Times New Roman"/>
          <w:b/>
          <w:bCs/>
          <w:kern w:val="2"/>
          <w14:ligatures w14:val="standardContextual"/>
        </w:rPr>
        <w:lastRenderedPageBreak/>
        <w:t xml:space="preserve">12. Photography and Videography: </w:t>
      </w:r>
      <w:r w:rsidRPr="00501568">
        <w:rPr>
          <w:rFonts w:ascii="Aptos" w:eastAsia="Calibri" w:hAnsi="Aptos" w:cs="Times New Roman"/>
          <w:kern w:val="2"/>
          <w14:ligatures w14:val="standardContextual"/>
        </w:rPr>
        <w:t xml:space="preserve">Any Third-Party Vendor engaged to take photographs or video at a SEFAA event must be pre-approved in writing by SEFAA. Such vendors may not use, publish, license, distribute, or exploit event images, attendee images, SEFAA marks, or SEFAA event content for their own marketing, advertising, social media, portfolio, or promotional purposes without SEFAA’s prior written consent and any other </w:t>
      </w:r>
      <w:proofErr w:type="gramStart"/>
      <w:r w:rsidRPr="00501568">
        <w:rPr>
          <w:rFonts w:ascii="Aptos" w:eastAsia="Calibri" w:hAnsi="Aptos" w:cs="Times New Roman"/>
          <w:kern w:val="2"/>
          <w14:ligatures w14:val="standardContextual"/>
        </w:rPr>
        <w:t>consents</w:t>
      </w:r>
      <w:proofErr w:type="gramEnd"/>
      <w:r w:rsidRPr="00501568">
        <w:rPr>
          <w:rFonts w:ascii="Aptos" w:eastAsia="Calibri" w:hAnsi="Aptos" w:cs="Times New Roman"/>
          <w:kern w:val="2"/>
          <w14:ligatures w14:val="standardContextual"/>
        </w:rPr>
        <w:t xml:space="preserve"> required by law or by the relevant subjects. Nothing in this policy grants any outside vendor rights to capture or use images beyond the limited purpose for which access was approved.</w:t>
      </w:r>
    </w:p>
    <w:p w14:paraId="45F57C20" w14:textId="77777777" w:rsidR="00501568" w:rsidRPr="00501568" w:rsidRDefault="00501568" w:rsidP="00501568">
      <w:pPr>
        <w:spacing w:after="160" w:line="278" w:lineRule="auto"/>
        <w:rPr>
          <w:rFonts w:ascii="Aptos" w:eastAsia="Calibri" w:hAnsi="Aptos" w:cs="Times New Roman"/>
          <w:b/>
          <w:bCs/>
          <w:kern w:val="2"/>
          <w14:ligatures w14:val="standardContextual"/>
        </w:rPr>
      </w:pPr>
      <w:r w:rsidRPr="00501568">
        <w:rPr>
          <w:rFonts w:ascii="Aptos" w:eastAsia="Calibri" w:hAnsi="Aptos" w:cs="Times New Roman"/>
          <w:b/>
          <w:bCs/>
          <w:kern w:val="2"/>
          <w14:ligatures w14:val="standardContextual"/>
        </w:rPr>
        <w:t xml:space="preserve">13. Right to Amend: </w:t>
      </w:r>
      <w:r w:rsidRPr="00501568">
        <w:rPr>
          <w:rFonts w:ascii="Aptos" w:eastAsia="Calibri" w:hAnsi="Aptos" w:cs="Times New Roman"/>
          <w:kern w:val="2"/>
          <w14:ligatures w14:val="standardContextual"/>
        </w:rPr>
        <w:t>SEFAA reserves the right to amend, interpret, or apply this policy at any time in its sole discretion. The version of the policy in effect on the date of the event registration, sponsor approval, or vendor approval, as applicable, shall govern unless SEFAA states otherwise in writing.</w:t>
      </w:r>
    </w:p>
    <w:p w14:paraId="75A7A0AD" w14:textId="77777777" w:rsidR="00501568" w:rsidRPr="00501568" w:rsidRDefault="00501568" w:rsidP="00501568">
      <w:pPr>
        <w:spacing w:after="160" w:line="278" w:lineRule="auto"/>
        <w:rPr>
          <w:rFonts w:ascii="Aptos" w:eastAsia="Calibri" w:hAnsi="Aptos" w:cs="Times New Roman"/>
          <w:b/>
          <w:bCs/>
          <w:kern w:val="2"/>
          <w14:ligatures w14:val="standardContextual"/>
        </w:rPr>
      </w:pPr>
      <w:r w:rsidRPr="00501568">
        <w:rPr>
          <w:rFonts w:ascii="Aptos" w:eastAsia="Calibri" w:hAnsi="Aptos" w:cs="Times New Roman"/>
          <w:b/>
          <w:bCs/>
          <w:kern w:val="2"/>
          <w14:ligatures w14:val="standardContextual"/>
        </w:rPr>
        <w:t xml:space="preserve">14. Acknowledgment: </w:t>
      </w:r>
      <w:r w:rsidRPr="00501568">
        <w:rPr>
          <w:rFonts w:ascii="Aptos" w:eastAsia="Calibri" w:hAnsi="Aptos" w:cs="Times New Roman"/>
          <w:kern w:val="2"/>
          <w14:ligatures w14:val="standardContextual"/>
        </w:rPr>
        <w:t>By registering for, attending, sponsoring, exhibiting at, or otherwise participating in a SEFAA event, and by hiring, bringing, permitting, or using any Third-Party Vendor in connection with such event, the participant agrees to comply with this policy. Where SEFAA uses electronic registration or sponsor/exhibitor sign-up, acceptance of this policy may be required by affirmative checkbox, click-through acknowledgment, or comparable electronic assent.</w:t>
      </w:r>
    </w:p>
    <w:p w14:paraId="3ACC10DF" w14:textId="77777777" w:rsidR="00501568" w:rsidRPr="00501568" w:rsidRDefault="00501568" w:rsidP="00501568">
      <w:pPr>
        <w:spacing w:after="160" w:line="278" w:lineRule="auto"/>
        <w:rPr>
          <w:rFonts w:ascii="Aptos" w:eastAsia="Calibri" w:hAnsi="Aptos" w:cs="Times New Roman"/>
          <w:kern w:val="2"/>
          <w14:ligatures w14:val="standardContextual"/>
        </w:rPr>
      </w:pPr>
      <w:r w:rsidRPr="00501568">
        <w:rPr>
          <w:rFonts w:ascii="Aptos" w:eastAsia="Calibri" w:hAnsi="Aptos" w:cs="Times New Roman"/>
          <w:b/>
          <w:bCs/>
          <w:kern w:val="2"/>
          <w14:ligatures w14:val="standardContextual"/>
        </w:rPr>
        <w:t xml:space="preserve">Contact Information: </w:t>
      </w:r>
      <w:r w:rsidRPr="00501568">
        <w:rPr>
          <w:rFonts w:ascii="Aptos" w:eastAsia="Calibri" w:hAnsi="Aptos" w:cs="Times New Roman"/>
          <w:kern w:val="2"/>
          <w14:ligatures w14:val="standardContextual"/>
        </w:rPr>
        <w:t xml:space="preserve">For submissions or questions regarding Third-Party Vendors, please contact </w:t>
      </w:r>
      <w:proofErr w:type="gramStart"/>
      <w:r w:rsidRPr="00501568">
        <w:rPr>
          <w:rFonts w:ascii="Aptos" w:eastAsia="Calibri" w:hAnsi="Aptos" w:cs="Times New Roman"/>
          <w:kern w:val="2"/>
          <w14:ligatures w14:val="standardContextual"/>
        </w:rPr>
        <w:t>South East</w:t>
      </w:r>
      <w:proofErr w:type="gramEnd"/>
      <w:r w:rsidRPr="00501568">
        <w:rPr>
          <w:rFonts w:ascii="Aptos" w:eastAsia="Calibri" w:hAnsi="Aptos" w:cs="Times New Roman"/>
          <w:kern w:val="2"/>
          <w14:ligatures w14:val="standardContextual"/>
        </w:rPr>
        <w:t xml:space="preserve"> Florida Apartment Association (SEFAA) at </w:t>
      </w:r>
      <w:hyperlink r:id="rId11" w:tgtFrame="_blank" w:history="1">
        <w:r w:rsidRPr="00501568">
          <w:rPr>
            <w:rFonts w:ascii="Aptos" w:eastAsia="Calibri" w:hAnsi="Aptos" w:cs="Times New Roman"/>
            <w:color w:val="0563C1"/>
            <w:kern w:val="2"/>
            <w:u w:val="single"/>
            <w14:ligatures w14:val="standardContextual"/>
          </w:rPr>
          <w:t>events@sefaa.org</w:t>
        </w:r>
      </w:hyperlink>
      <w:r w:rsidRPr="00501568">
        <w:rPr>
          <w:rFonts w:ascii="Aptos" w:eastAsia="Calibri" w:hAnsi="Aptos" w:cs="Times New Roman"/>
          <w:kern w:val="2"/>
          <w14:ligatures w14:val="standardContextual"/>
        </w:rPr>
        <w:t xml:space="preserve"> or 561-447-0696.</w:t>
      </w:r>
    </w:p>
    <w:p w14:paraId="74A5C6EB" w14:textId="77777777" w:rsidR="006C2E21" w:rsidRDefault="006C2E21" w:rsidP="006C2E21"/>
    <w:p w14:paraId="16CD2461" w14:textId="77777777" w:rsidR="006C2E21" w:rsidRDefault="006C2E21" w:rsidP="006C2E21"/>
    <w:p w14:paraId="56F94C38" w14:textId="77777777" w:rsidR="006C2E21" w:rsidRDefault="006C2E21" w:rsidP="006C2E21"/>
    <w:p w14:paraId="250CFB03" w14:textId="77777777" w:rsidR="006C2E21" w:rsidRDefault="006C2E21" w:rsidP="006C2E21"/>
    <w:p w14:paraId="7E065AF5" w14:textId="77777777" w:rsidR="006C2E21" w:rsidRPr="00CB09A7" w:rsidRDefault="006C2E21" w:rsidP="006C2E21">
      <w:pPr>
        <w:rPr>
          <w:sz w:val="18"/>
          <w:szCs w:val="18"/>
        </w:rPr>
      </w:pPr>
      <w:r w:rsidRPr="00CB09A7">
        <w:rPr>
          <w:sz w:val="18"/>
          <w:szCs w:val="18"/>
        </w:rPr>
        <w:t xml:space="preserve">7999 N Federal Hwy, Suite 400, </w:t>
      </w:r>
    </w:p>
    <w:p w14:paraId="54DC6409" w14:textId="77777777" w:rsidR="006C2E21" w:rsidRPr="00CB09A7" w:rsidRDefault="006C2E21" w:rsidP="006C2E21">
      <w:pPr>
        <w:rPr>
          <w:sz w:val="18"/>
          <w:szCs w:val="18"/>
        </w:rPr>
      </w:pPr>
      <w:r w:rsidRPr="00CB09A7">
        <w:rPr>
          <w:sz w:val="18"/>
          <w:szCs w:val="18"/>
        </w:rPr>
        <w:t>Boca Raton, FL, 33487</w:t>
      </w:r>
    </w:p>
    <w:p w14:paraId="25F69100" w14:textId="77777777" w:rsidR="006C2E21" w:rsidRPr="00CB09A7" w:rsidRDefault="006C2E21" w:rsidP="006C2E21">
      <w:pPr>
        <w:rPr>
          <w:sz w:val="18"/>
          <w:szCs w:val="18"/>
        </w:rPr>
      </w:pPr>
    </w:p>
    <w:p w14:paraId="7F257DC5" w14:textId="77777777" w:rsidR="006C2E21" w:rsidRPr="00CB09A7" w:rsidRDefault="006C2E21" w:rsidP="006C2E21">
      <w:pPr>
        <w:rPr>
          <w:sz w:val="18"/>
          <w:szCs w:val="18"/>
        </w:rPr>
      </w:pPr>
      <w:r w:rsidRPr="00CB09A7">
        <w:rPr>
          <w:sz w:val="18"/>
          <w:szCs w:val="18"/>
        </w:rPr>
        <w:t>T (800) 627-7921 | F (561) 274-4849</w:t>
      </w:r>
    </w:p>
    <w:p w14:paraId="5C56E76D" w14:textId="77777777" w:rsidR="006C2E21" w:rsidRPr="00CB09A7" w:rsidRDefault="006C2E21" w:rsidP="006C2E21">
      <w:pPr>
        <w:rPr>
          <w:sz w:val="18"/>
          <w:szCs w:val="18"/>
        </w:rPr>
      </w:pPr>
      <w:r w:rsidRPr="00CB09A7">
        <w:rPr>
          <w:sz w:val="18"/>
          <w:szCs w:val="18"/>
        </w:rPr>
        <w:t>www.SEFAA.org</w:t>
      </w:r>
    </w:p>
    <w:p w14:paraId="0CF919FE" w14:textId="77777777" w:rsidR="006C2E21" w:rsidRDefault="006C2E21" w:rsidP="006C2E21"/>
    <w:p w14:paraId="4B66CD23" w14:textId="77777777" w:rsidR="006C2E21" w:rsidRPr="006C2E21" w:rsidRDefault="006C2E21" w:rsidP="006C2E21"/>
    <w:sectPr w:rsidR="006C2E21" w:rsidRPr="006C2E21" w:rsidSect="006C2E21">
      <w:headerReference w:type="default" r:id="rId12"/>
      <w:footerReference w:type="default" r:id="rId13"/>
      <w:pgSz w:w="12240" w:h="15840"/>
      <w:pgMar w:top="2880" w:right="244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68DAB" w14:textId="77777777" w:rsidR="007B5166" w:rsidRDefault="007B5166" w:rsidP="00FF5C4E">
      <w:r>
        <w:separator/>
      </w:r>
    </w:p>
  </w:endnote>
  <w:endnote w:type="continuationSeparator" w:id="0">
    <w:p w14:paraId="285A3B0A" w14:textId="77777777" w:rsidR="007B5166" w:rsidRDefault="007B5166" w:rsidP="00FF5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D5F57" w14:textId="77777777" w:rsidR="006C2E21" w:rsidRDefault="006C2E21">
    <w:pPr>
      <w:pStyle w:val="Footer"/>
    </w:pPr>
    <w:r>
      <w:rPr>
        <w:noProof/>
      </w:rPr>
      <mc:AlternateContent>
        <mc:Choice Requires="wps">
          <w:drawing>
            <wp:anchor distT="0" distB="0" distL="114300" distR="114300" simplePos="0" relativeHeight="251665408" behindDoc="1" locked="0" layoutInCell="1" allowOverlap="1" wp14:anchorId="30F437DB" wp14:editId="24A59D71">
              <wp:simplePos x="0" y="0"/>
              <wp:positionH relativeFrom="column">
                <wp:posOffset>4733591</wp:posOffset>
              </wp:positionH>
              <wp:positionV relativeFrom="paragraph">
                <wp:posOffset>-407236</wp:posOffset>
              </wp:positionV>
              <wp:extent cx="1049153" cy="1049153"/>
              <wp:effectExtent l="0" t="0" r="5080" b="5080"/>
              <wp:wrapNone/>
              <wp:docPr id="265129593" name="Rectangle 1"/>
              <wp:cNvGraphicFramePr/>
              <a:graphic xmlns:a="http://schemas.openxmlformats.org/drawingml/2006/main">
                <a:graphicData uri="http://schemas.microsoft.com/office/word/2010/wordprocessingShape">
                  <wps:wsp>
                    <wps:cNvSpPr/>
                    <wps:spPr>
                      <a:xfrm>
                        <a:off x="0" y="0"/>
                        <a:ext cx="1049153" cy="1049153"/>
                      </a:xfrm>
                      <a:prstGeom prst="rect">
                        <a:avLst/>
                      </a:prstGeom>
                      <a:solidFill>
                        <a:srgbClr val="12AAF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4F3925" id="Rectangle 1" o:spid="_x0000_s1026" style="position:absolute;margin-left:372.7pt;margin-top:-32.05pt;width:82.6pt;height:82.6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" fillcolor="#12aaf4" stroked="f" strokeweight="1pt"/>
          </w:pict>
        </mc:Fallback>
      </mc:AlternateContent>
    </w:r>
    <w:r>
      <w:rPr>
        <w:noProof/>
      </w:rPr>
      <mc:AlternateContent>
        <mc:Choice Requires="wps">
          <w:drawing>
            <wp:anchor distT="0" distB="0" distL="114300" distR="114300" simplePos="0" relativeHeight="251663360" behindDoc="1" locked="0" layoutInCell="1" allowOverlap="1" wp14:anchorId="06BF8BA0" wp14:editId="285A32A0">
              <wp:simplePos x="0" y="0"/>
              <wp:positionH relativeFrom="column">
                <wp:posOffset>5782310</wp:posOffset>
              </wp:positionH>
              <wp:positionV relativeFrom="paragraph">
                <wp:posOffset>-1455888</wp:posOffset>
              </wp:positionV>
              <wp:extent cx="1049153" cy="1049153"/>
              <wp:effectExtent l="0" t="0" r="5080" b="5080"/>
              <wp:wrapNone/>
              <wp:docPr id="1305239324" name="Rectangle 1"/>
              <wp:cNvGraphicFramePr/>
              <a:graphic xmlns:a="http://schemas.openxmlformats.org/drawingml/2006/main">
                <a:graphicData uri="http://schemas.microsoft.com/office/word/2010/wordprocessingShape">
                  <wps:wsp>
                    <wps:cNvSpPr/>
                    <wps:spPr>
                      <a:xfrm>
                        <a:off x="0" y="0"/>
                        <a:ext cx="1049153" cy="1049153"/>
                      </a:xfrm>
                      <a:prstGeom prst="rect">
                        <a:avLst/>
                      </a:prstGeom>
                      <a:solidFill>
                        <a:srgbClr val="529E3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60D489" id="Rectangle 1" o:spid="_x0000_s1026" style="position:absolute;margin-left:455.3pt;margin-top:-114.65pt;width:82.6pt;height:82.6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" fillcolor="#529e3d" stroked="f" strokeweight="1pt"/>
          </w:pict>
        </mc:Fallback>
      </mc:AlternateContent>
    </w:r>
    <w:r>
      <w:rPr>
        <w:noProof/>
      </w:rPr>
      <mc:AlternateContent>
        <mc:Choice Requires="wps">
          <w:drawing>
            <wp:anchor distT="0" distB="0" distL="114300" distR="114300" simplePos="0" relativeHeight="251661312" behindDoc="1" locked="0" layoutInCell="1" allowOverlap="1" wp14:anchorId="053A257B" wp14:editId="0C2FF2A1">
              <wp:simplePos x="0" y="0"/>
              <wp:positionH relativeFrom="column">
                <wp:posOffset>5783614</wp:posOffset>
              </wp:positionH>
              <wp:positionV relativeFrom="paragraph">
                <wp:posOffset>-405564</wp:posOffset>
              </wp:positionV>
              <wp:extent cx="1049153" cy="1049153"/>
              <wp:effectExtent l="0" t="0" r="5080" b="5080"/>
              <wp:wrapNone/>
              <wp:docPr id="2053773482" name="Rectangle 1"/>
              <wp:cNvGraphicFramePr/>
              <a:graphic xmlns:a="http://schemas.openxmlformats.org/drawingml/2006/main">
                <a:graphicData uri="http://schemas.microsoft.com/office/word/2010/wordprocessingShape">
                  <wps:wsp>
                    <wps:cNvSpPr/>
                    <wps:spPr>
                      <a:xfrm>
                        <a:off x="0" y="0"/>
                        <a:ext cx="1049153" cy="1049153"/>
                      </a:xfrm>
                      <a:prstGeom prst="rect">
                        <a:avLst/>
                      </a:prstGeom>
                      <a:solidFill>
                        <a:srgbClr val="2A328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A396E3" id="Rectangle 1" o:spid="_x0000_s1026" style="position:absolute;margin-left:455.4pt;margin-top:-31.95pt;width:82.6pt;height:82.6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" fillcolor="#2a328e"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5B919" w14:textId="77777777" w:rsidR="007B5166" w:rsidRDefault="007B5166" w:rsidP="00FF5C4E">
      <w:r>
        <w:separator/>
      </w:r>
    </w:p>
  </w:footnote>
  <w:footnote w:type="continuationSeparator" w:id="0">
    <w:p w14:paraId="55DA5DB0" w14:textId="77777777" w:rsidR="007B5166" w:rsidRDefault="007B5166" w:rsidP="00FF5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7EDDC" w14:textId="77777777" w:rsidR="00FF5C4E" w:rsidRDefault="00FF5C4E">
    <w:pPr>
      <w:pStyle w:val="Header"/>
    </w:pPr>
    <w:r>
      <w:rPr>
        <w:noProof/>
      </w:rPr>
      <w:drawing>
        <wp:anchor distT="0" distB="0" distL="114300" distR="114300" simplePos="0" relativeHeight="251659264" behindDoc="0" locked="0" layoutInCell="1" allowOverlap="1" wp14:anchorId="406BEE0C" wp14:editId="07980A5F">
          <wp:simplePos x="0" y="0"/>
          <wp:positionH relativeFrom="column">
            <wp:posOffset>0</wp:posOffset>
          </wp:positionH>
          <wp:positionV relativeFrom="paragraph">
            <wp:posOffset>144780</wp:posOffset>
          </wp:positionV>
          <wp:extent cx="2244997" cy="490889"/>
          <wp:effectExtent l="0" t="0" r="3175" b="4445"/>
          <wp:wrapNone/>
          <wp:docPr id="1102193920"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826441"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44997" cy="49088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6ED280FA" wp14:editId="1CAAE5F1">
              <wp:simplePos x="0" y="0"/>
              <wp:positionH relativeFrom="column">
                <wp:posOffset>3935730</wp:posOffset>
              </wp:positionH>
              <wp:positionV relativeFrom="paragraph">
                <wp:posOffset>0</wp:posOffset>
              </wp:positionV>
              <wp:extent cx="2626995" cy="1077595"/>
              <wp:effectExtent l="0" t="0" r="1905" b="1905"/>
              <wp:wrapNone/>
              <wp:docPr id="155521064" name="Text Box 2"/>
              <wp:cNvGraphicFramePr/>
              <a:graphic xmlns:a="http://schemas.openxmlformats.org/drawingml/2006/main">
                <a:graphicData uri="http://schemas.microsoft.com/office/word/2010/wordprocessingShape">
                  <wps:wsp>
                    <wps:cNvSpPr txBox="1"/>
                    <wps:spPr>
                      <a:xfrm>
                        <a:off x="0" y="0"/>
                        <a:ext cx="2626995" cy="1077595"/>
                      </a:xfrm>
                      <a:prstGeom prst="rect">
                        <a:avLst/>
                      </a:prstGeom>
                      <a:solidFill>
                        <a:schemeClr val="lt1"/>
                      </a:solidFill>
                      <a:ln w="6350">
                        <a:noFill/>
                      </a:ln>
                    </wps:spPr>
                    <wps:txbx>
                      <w:txbxContent>
                        <w:p w14:paraId="4F9036C6" w14:textId="77777777" w:rsidR="00FF5C4E" w:rsidRPr="00CB09A7" w:rsidRDefault="00FF5C4E" w:rsidP="00FF5C4E">
                          <w:pPr>
                            <w:rPr>
                              <w:sz w:val="18"/>
                              <w:szCs w:val="18"/>
                            </w:rPr>
                          </w:pPr>
                          <w:r w:rsidRPr="00CB09A7">
                            <w:rPr>
                              <w:sz w:val="18"/>
                              <w:szCs w:val="18"/>
                            </w:rPr>
                            <w:t xml:space="preserve">7999 N Federal Hwy, Suite 400, </w:t>
                          </w:r>
                        </w:p>
                        <w:p w14:paraId="6A921994" w14:textId="77777777" w:rsidR="00FF5C4E" w:rsidRPr="00CB09A7" w:rsidRDefault="00FF5C4E" w:rsidP="00FF5C4E">
                          <w:pPr>
                            <w:rPr>
                              <w:sz w:val="18"/>
                              <w:szCs w:val="18"/>
                            </w:rPr>
                          </w:pPr>
                          <w:r w:rsidRPr="00CB09A7">
                            <w:rPr>
                              <w:sz w:val="18"/>
                              <w:szCs w:val="18"/>
                            </w:rPr>
                            <w:t>Boca Raton, FL, 33487</w:t>
                          </w:r>
                        </w:p>
                        <w:p w14:paraId="01EC1FD5" w14:textId="77777777" w:rsidR="00FF5C4E" w:rsidRPr="00CB09A7" w:rsidRDefault="00FF5C4E" w:rsidP="00FF5C4E">
                          <w:pPr>
                            <w:rPr>
                              <w:sz w:val="18"/>
                              <w:szCs w:val="18"/>
                            </w:rPr>
                          </w:pPr>
                        </w:p>
                        <w:p w14:paraId="5A8DD26B" w14:textId="77777777" w:rsidR="00FF5C4E" w:rsidRPr="00CB09A7" w:rsidRDefault="00FF5C4E" w:rsidP="00FF5C4E">
                          <w:pPr>
                            <w:rPr>
                              <w:sz w:val="18"/>
                              <w:szCs w:val="18"/>
                            </w:rPr>
                          </w:pPr>
                          <w:r w:rsidRPr="00CB09A7">
                            <w:rPr>
                              <w:sz w:val="18"/>
                              <w:szCs w:val="18"/>
                            </w:rPr>
                            <w:t>T (800) 627-7921 | F (561) 274-4849</w:t>
                          </w:r>
                        </w:p>
                        <w:p w14:paraId="0DCE3AE1" w14:textId="77777777" w:rsidR="00FF5C4E" w:rsidRPr="00CB09A7" w:rsidRDefault="00FF5C4E" w:rsidP="00FF5C4E">
                          <w:pPr>
                            <w:rPr>
                              <w:sz w:val="18"/>
                              <w:szCs w:val="18"/>
                            </w:rPr>
                          </w:pPr>
                          <w:r w:rsidRPr="00CB09A7">
                            <w:rPr>
                              <w:sz w:val="18"/>
                              <w:szCs w:val="18"/>
                            </w:rPr>
                            <w:t>www.SEFAA.org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D280FA" id="_x0000_t202" coordsize="21600,21600" o:spt="202" path="m,l,21600r21600,l21600,xe">
              <v:stroke joinstyle="miter"/>
              <v:path gradientshapeok="t" o:connecttype="rect"/>
            </v:shapetype>
            <v:shape id="Text Box 2" o:spid="_x0000_s1026" type="#_x0000_t202" style="position:absolute;margin-left:309.9pt;margin-top:0;width:206.85pt;height:8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" fillcolor="white [3201]" stroked="f" strokeweight=".5pt">
              <v:textbox>
                <w:txbxContent>
                  <w:p w14:paraId="4F9036C6" w14:textId="77777777" w:rsidR="00FF5C4E" w:rsidRPr="00CB09A7" w:rsidRDefault="00FF5C4E" w:rsidP="00FF5C4E">
                    <w:pPr>
                      <w:rPr>
                        <w:sz w:val="18"/>
                        <w:szCs w:val="18"/>
                      </w:rPr>
                    </w:pPr>
                    <w:r w:rsidRPr="00CB09A7">
                      <w:rPr>
                        <w:sz w:val="18"/>
                        <w:szCs w:val="18"/>
                      </w:rPr>
                      <w:t xml:space="preserve">7999 N Federal Hwy, Suite 400, </w:t>
                    </w:r>
                  </w:p>
                  <w:p w14:paraId="6A921994" w14:textId="77777777" w:rsidR="00FF5C4E" w:rsidRPr="00CB09A7" w:rsidRDefault="00FF5C4E" w:rsidP="00FF5C4E">
                    <w:pPr>
                      <w:rPr>
                        <w:sz w:val="18"/>
                        <w:szCs w:val="18"/>
                      </w:rPr>
                    </w:pPr>
                    <w:r w:rsidRPr="00CB09A7">
                      <w:rPr>
                        <w:sz w:val="18"/>
                        <w:szCs w:val="18"/>
                      </w:rPr>
                      <w:t>Boca Raton, FL, 33487</w:t>
                    </w:r>
                  </w:p>
                  <w:p w14:paraId="01EC1FD5" w14:textId="77777777" w:rsidR="00FF5C4E" w:rsidRPr="00CB09A7" w:rsidRDefault="00FF5C4E" w:rsidP="00FF5C4E">
                    <w:pPr>
                      <w:rPr>
                        <w:sz w:val="18"/>
                        <w:szCs w:val="18"/>
                      </w:rPr>
                    </w:pPr>
                  </w:p>
                  <w:p w14:paraId="5A8DD26B" w14:textId="77777777" w:rsidR="00FF5C4E" w:rsidRPr="00CB09A7" w:rsidRDefault="00FF5C4E" w:rsidP="00FF5C4E">
                    <w:pPr>
                      <w:rPr>
                        <w:sz w:val="18"/>
                        <w:szCs w:val="18"/>
                      </w:rPr>
                    </w:pPr>
                    <w:r w:rsidRPr="00CB09A7">
                      <w:rPr>
                        <w:sz w:val="18"/>
                        <w:szCs w:val="18"/>
                      </w:rPr>
                      <w:t>T (800) 627-7921 | F (561) 274-4849</w:t>
                    </w:r>
                  </w:p>
                  <w:p w14:paraId="0DCE3AE1" w14:textId="77777777" w:rsidR="00FF5C4E" w:rsidRPr="00CB09A7" w:rsidRDefault="00FF5C4E" w:rsidP="00FF5C4E">
                    <w:pPr>
                      <w:rPr>
                        <w:sz w:val="18"/>
                        <w:szCs w:val="18"/>
                      </w:rPr>
                    </w:pPr>
                    <w:r w:rsidRPr="00CB09A7">
                      <w:rPr>
                        <w:sz w:val="18"/>
                        <w:szCs w:val="18"/>
                      </w:rPr>
                      <w:t>www.SEFAA.org</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684429124">
    <w:abstractNumId w:val="0"/>
  </w:num>
  <w:num w:numId="2" w16cid:durableId="1044983971">
    <w:abstractNumId w:val="1"/>
  </w:num>
  <w:num w:numId="3" w16cid:durableId="395053181">
    <w:abstractNumId w:val="2"/>
  </w:num>
  <w:num w:numId="4" w16cid:durableId="14703980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568"/>
    <w:rsid w:val="000516D5"/>
    <w:rsid w:val="0005203E"/>
    <w:rsid w:val="0008309B"/>
    <w:rsid w:val="000A1197"/>
    <w:rsid w:val="00197649"/>
    <w:rsid w:val="001D4769"/>
    <w:rsid w:val="00257369"/>
    <w:rsid w:val="002C12ED"/>
    <w:rsid w:val="002C2309"/>
    <w:rsid w:val="002F1636"/>
    <w:rsid w:val="003D5745"/>
    <w:rsid w:val="00431E30"/>
    <w:rsid w:val="00435CF0"/>
    <w:rsid w:val="004367CE"/>
    <w:rsid w:val="00445637"/>
    <w:rsid w:val="00474F15"/>
    <w:rsid w:val="004968C8"/>
    <w:rsid w:val="004A2B5D"/>
    <w:rsid w:val="004E4E76"/>
    <w:rsid w:val="004E73BB"/>
    <w:rsid w:val="00501568"/>
    <w:rsid w:val="00553A85"/>
    <w:rsid w:val="00591D05"/>
    <w:rsid w:val="006030EC"/>
    <w:rsid w:val="00696324"/>
    <w:rsid w:val="006C2E21"/>
    <w:rsid w:val="006E4153"/>
    <w:rsid w:val="00745659"/>
    <w:rsid w:val="007457EF"/>
    <w:rsid w:val="00790EA1"/>
    <w:rsid w:val="007A3729"/>
    <w:rsid w:val="007A7911"/>
    <w:rsid w:val="007B5166"/>
    <w:rsid w:val="007D5E4C"/>
    <w:rsid w:val="00807FD1"/>
    <w:rsid w:val="00822F51"/>
    <w:rsid w:val="00832101"/>
    <w:rsid w:val="00867D46"/>
    <w:rsid w:val="008D6A27"/>
    <w:rsid w:val="008F5B9D"/>
    <w:rsid w:val="00902232"/>
    <w:rsid w:val="009A4827"/>
    <w:rsid w:val="009F37E7"/>
    <w:rsid w:val="00A43087"/>
    <w:rsid w:val="00A52DE6"/>
    <w:rsid w:val="00A54F28"/>
    <w:rsid w:val="00A76A6C"/>
    <w:rsid w:val="00A92357"/>
    <w:rsid w:val="00AA0827"/>
    <w:rsid w:val="00AB16F8"/>
    <w:rsid w:val="00AB59D1"/>
    <w:rsid w:val="00AF785A"/>
    <w:rsid w:val="00B471EB"/>
    <w:rsid w:val="00BC7241"/>
    <w:rsid w:val="00C010A4"/>
    <w:rsid w:val="00C54670"/>
    <w:rsid w:val="00C56284"/>
    <w:rsid w:val="00D27C28"/>
    <w:rsid w:val="00D9740B"/>
    <w:rsid w:val="00DC2021"/>
    <w:rsid w:val="00DF4F5D"/>
    <w:rsid w:val="00E07BED"/>
    <w:rsid w:val="00E12C1F"/>
    <w:rsid w:val="00E7392E"/>
    <w:rsid w:val="00ED7275"/>
    <w:rsid w:val="00F31419"/>
    <w:rsid w:val="00F50516"/>
    <w:rsid w:val="00F878FB"/>
    <w:rsid w:val="00F936B4"/>
    <w:rsid w:val="00FB701A"/>
    <w:rsid w:val="00FB7074"/>
    <w:rsid w:val="00FE75D5"/>
    <w:rsid w:val="00FF5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73846"/>
  <w14:defaultImageDpi w14:val="32767"/>
  <w15:chartTrackingRefBased/>
  <w15:docId w15:val="{7F50DB3A-1E09-4B4A-AE7D-E6C8784BF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5C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5C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5C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5C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5C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5C4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5C4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5C4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5C4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C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C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C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C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C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C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C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C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C4E"/>
    <w:rPr>
      <w:rFonts w:eastAsiaTheme="majorEastAsia" w:cstheme="majorBidi"/>
      <w:color w:val="272727" w:themeColor="text1" w:themeTint="D8"/>
    </w:rPr>
  </w:style>
  <w:style w:type="paragraph" w:styleId="Title">
    <w:name w:val="Title"/>
    <w:basedOn w:val="Normal"/>
    <w:next w:val="Normal"/>
    <w:link w:val="TitleChar"/>
    <w:uiPriority w:val="10"/>
    <w:qFormat/>
    <w:rsid w:val="00FF5C4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5C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C4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5C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C4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F5C4E"/>
    <w:rPr>
      <w:i/>
      <w:iCs/>
      <w:color w:val="404040" w:themeColor="text1" w:themeTint="BF"/>
    </w:rPr>
  </w:style>
  <w:style w:type="paragraph" w:styleId="ListParagraph">
    <w:name w:val="List Paragraph"/>
    <w:basedOn w:val="Normal"/>
    <w:uiPriority w:val="34"/>
    <w:qFormat/>
    <w:rsid w:val="00FF5C4E"/>
    <w:pPr>
      <w:ind w:left="720"/>
      <w:contextualSpacing/>
    </w:pPr>
  </w:style>
  <w:style w:type="character" w:styleId="IntenseEmphasis">
    <w:name w:val="Intense Emphasis"/>
    <w:basedOn w:val="DefaultParagraphFont"/>
    <w:uiPriority w:val="21"/>
    <w:qFormat/>
    <w:rsid w:val="00FF5C4E"/>
    <w:rPr>
      <w:i/>
      <w:iCs/>
      <w:color w:val="0F4761" w:themeColor="accent1" w:themeShade="BF"/>
    </w:rPr>
  </w:style>
  <w:style w:type="paragraph" w:styleId="IntenseQuote">
    <w:name w:val="Intense Quote"/>
    <w:basedOn w:val="Normal"/>
    <w:next w:val="Normal"/>
    <w:link w:val="IntenseQuoteChar"/>
    <w:uiPriority w:val="30"/>
    <w:qFormat/>
    <w:rsid w:val="00FF5C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5C4E"/>
    <w:rPr>
      <w:i/>
      <w:iCs/>
      <w:color w:val="0F4761" w:themeColor="accent1" w:themeShade="BF"/>
    </w:rPr>
  </w:style>
  <w:style w:type="character" w:styleId="IntenseReference">
    <w:name w:val="Intense Reference"/>
    <w:basedOn w:val="DefaultParagraphFont"/>
    <w:uiPriority w:val="32"/>
    <w:qFormat/>
    <w:rsid w:val="00FF5C4E"/>
    <w:rPr>
      <w:b/>
      <w:bCs/>
      <w:smallCaps/>
      <w:color w:val="0F4761" w:themeColor="accent1" w:themeShade="BF"/>
      <w:spacing w:val="5"/>
    </w:rPr>
  </w:style>
  <w:style w:type="paragraph" w:styleId="Header">
    <w:name w:val="header"/>
    <w:basedOn w:val="Normal"/>
    <w:link w:val="HeaderChar"/>
    <w:uiPriority w:val="99"/>
    <w:unhideWhenUsed/>
    <w:rsid w:val="00FF5C4E"/>
    <w:pPr>
      <w:tabs>
        <w:tab w:val="center" w:pos="4680"/>
        <w:tab w:val="right" w:pos="9360"/>
      </w:tabs>
    </w:pPr>
  </w:style>
  <w:style w:type="character" w:customStyle="1" w:styleId="HeaderChar">
    <w:name w:val="Header Char"/>
    <w:basedOn w:val="DefaultParagraphFont"/>
    <w:link w:val="Header"/>
    <w:uiPriority w:val="99"/>
    <w:rsid w:val="00FF5C4E"/>
  </w:style>
  <w:style w:type="paragraph" w:styleId="Footer">
    <w:name w:val="footer"/>
    <w:basedOn w:val="Normal"/>
    <w:link w:val="FooterChar"/>
    <w:uiPriority w:val="99"/>
    <w:unhideWhenUsed/>
    <w:rsid w:val="00FF5C4E"/>
    <w:pPr>
      <w:tabs>
        <w:tab w:val="center" w:pos="4680"/>
        <w:tab w:val="right" w:pos="9360"/>
      </w:tabs>
    </w:pPr>
  </w:style>
  <w:style w:type="character" w:customStyle="1" w:styleId="FooterChar">
    <w:name w:val="Footer Char"/>
    <w:basedOn w:val="DefaultParagraphFont"/>
    <w:link w:val="Footer"/>
    <w:uiPriority w:val="99"/>
    <w:rsid w:val="00FF5C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32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vents@sefaa.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shCapuano\OneDrive%20-%20Paragon%20Events\ASSOCIATION%20FOLDER\SEFAA\1.%20BOD%20-%20Governance\Policies%20and%20Procedures\SEFAA%20Third-Party%20Vendor%20Policy\SEFAA%20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eaa3ae-db1e-42f0-ad3b-2be91daa2658">
      <Terms xmlns="http://schemas.microsoft.com/office/infopath/2007/PartnerControls"/>
    </lcf76f155ced4ddcb4097134ff3c332f>
    <TaxCatchAll xmlns="b2d1b88f-c99c-4274-95d0-6efed88a8f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E6D282E1CD1540B98B408D4F75A5C0" ma:contentTypeVersion="16" ma:contentTypeDescription="Create a new document." ma:contentTypeScope="" ma:versionID="b6ab704dd47423b65cb31202f6bb6a99">
  <xsd:schema xmlns:xsd="http://www.w3.org/2001/XMLSchema" xmlns:xs="http://www.w3.org/2001/XMLSchema" xmlns:p="http://schemas.microsoft.com/office/2006/metadata/properties" xmlns:ns2="caeaa3ae-db1e-42f0-ad3b-2be91daa2658" xmlns:ns3="b2d1b88f-c99c-4274-95d0-6efed88a8f81" targetNamespace="http://schemas.microsoft.com/office/2006/metadata/properties" ma:root="true" ma:fieldsID="be5d26e232826546b9926de21af2ece9" ns2:_="" ns3:_="">
    <xsd:import namespace="caeaa3ae-db1e-42f0-ad3b-2be91daa2658"/>
    <xsd:import namespace="b2d1b88f-c99c-4274-95d0-6efed88a8f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aa3ae-db1e-42f0-ad3b-2be91daa26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2033c6b-f594-47a8-b080-88b48b77b90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d1b88f-c99c-4274-95d0-6efed88a8f8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3849e38-3031-4f7c-9214-ec2bc82345ea}" ma:internalName="TaxCatchAll" ma:showField="CatchAllData" ma:web="b2d1b88f-c99c-4274-95d0-6efed88a8f8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03F48-93F4-44FF-985D-96F284959375}">
  <ds:schemaRefs>
    <ds:schemaRef ds:uri="http://schemas.microsoft.com/office/2006/metadata/properties"/>
    <ds:schemaRef ds:uri="http://schemas.microsoft.com/office/infopath/2007/PartnerControls"/>
    <ds:schemaRef ds:uri="caeaa3ae-db1e-42f0-ad3b-2be91daa2658"/>
    <ds:schemaRef ds:uri="b2d1b88f-c99c-4274-95d0-6efed88a8f81"/>
  </ds:schemaRefs>
</ds:datastoreItem>
</file>

<file path=customXml/itemProps2.xml><?xml version="1.0" encoding="utf-8"?>
<ds:datastoreItem xmlns:ds="http://schemas.openxmlformats.org/officeDocument/2006/customXml" ds:itemID="{02781FFF-222F-4361-BF92-3972DAA32157}">
  <ds:schemaRefs>
    <ds:schemaRef ds:uri="http://schemas.microsoft.com/sharepoint/v3/contenttype/forms"/>
  </ds:schemaRefs>
</ds:datastoreItem>
</file>

<file path=customXml/itemProps3.xml><?xml version="1.0" encoding="utf-8"?>
<ds:datastoreItem xmlns:ds="http://schemas.openxmlformats.org/officeDocument/2006/customXml" ds:itemID="{E898BE19-9463-40AD-8D89-33A759A53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aa3ae-db1e-42f0-ad3b-2be91daa2658"/>
    <ds:schemaRef ds:uri="b2d1b88f-c99c-4274-95d0-6efed88a8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9D064A-754E-A943-B0DA-3D4E5E9AC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SEFAA Letterhead Template</Template>
  <TotalTime>0</TotalTime>
  <Pages>4</Pages>
  <Words>1251</Words>
  <Characters>7133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Capuano</dc:creator>
  <cp:keywords/>
  <dc:description/>
  <cp:lastModifiedBy>Trish Capuano</cp:lastModifiedBy>
  <cp:revision>1</cp:revision>
  <dcterms:created xsi:type="dcterms:W3CDTF">2026-06-08T15:19:00Z</dcterms:created>
  <dcterms:modified xsi:type="dcterms:W3CDTF">2026-06-08T15:20:00Z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0x010100C9E6D282E1CD1540B98B408D4F75A5C0</vt:lpwstr>
  </property>
  <property fmtid="{D5CDD505-2E9C-101B-9397-08002B2CF9AE}" pid="3" name="MediaServiceImageTags">
    <vt:lpwstr/>
  </property>
</Properties>
</file>