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E56DB" w14:textId="13579655" w:rsidR="00E4472D" w:rsidRDefault="00973A46" w:rsidP="00E4472D">
      <w:pPr>
        <w:rPr>
          <w:b/>
          <w:bCs/>
          <w:smallCaps/>
          <w:sz w:val="32"/>
          <w:szCs w:val="32"/>
        </w:rPr>
      </w:pPr>
      <w:r>
        <w:rPr>
          <w:b/>
          <w:smallCaps/>
          <w:noProof/>
          <w:sz w:val="36"/>
          <w:szCs w:val="36"/>
        </w:rPr>
        <mc:AlternateContent>
          <mc:Choice Requires="wps">
            <w:drawing>
              <wp:anchor distT="0" distB="0" distL="114300" distR="114300" simplePos="0" relativeHeight="251659264" behindDoc="0" locked="0" layoutInCell="1" allowOverlap="1" wp14:anchorId="5BC1898F" wp14:editId="2AC72092">
                <wp:simplePos x="0" y="0"/>
                <wp:positionH relativeFrom="column">
                  <wp:posOffset>9525</wp:posOffset>
                </wp:positionH>
                <wp:positionV relativeFrom="paragraph">
                  <wp:posOffset>28575</wp:posOffset>
                </wp:positionV>
                <wp:extent cx="0" cy="371475"/>
                <wp:effectExtent l="57150" t="19050" r="76200" b="85725"/>
                <wp:wrapNone/>
                <wp:docPr id="2" name="Straight Connector 2"/>
                <wp:cNvGraphicFramePr/>
                <a:graphic xmlns:a="http://schemas.openxmlformats.org/drawingml/2006/main">
                  <a:graphicData uri="http://schemas.microsoft.com/office/word/2010/wordprocessingShape">
                    <wps:wsp>
                      <wps:cNvCnPr/>
                      <wps:spPr>
                        <a:xfrm>
                          <a:off x="0" y="0"/>
                          <a:ext cx="0" cy="371475"/>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6909DF"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2.25pt" to=".7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" strokecolor="black [3200]" strokeweight="2pt">
                <v:shadow on="t" color="black" opacity="24903f" origin=",.5" offset="0,.55556mm"/>
              </v:line>
            </w:pict>
          </mc:Fallback>
        </mc:AlternateContent>
      </w:r>
      <w:r w:rsidR="00E4472D">
        <w:rPr>
          <w:sz w:val="24"/>
          <w:szCs w:val="24"/>
          <w:lang w:val="en-CA"/>
        </w:rPr>
        <w:fldChar w:fldCharType="begin"/>
      </w:r>
      <w:r w:rsidR="00E4472D">
        <w:rPr>
          <w:sz w:val="24"/>
          <w:szCs w:val="24"/>
          <w:lang w:val="en-CA"/>
        </w:rPr>
        <w:instrText xml:space="preserve"> SEQ CHAPTER \h \r 1</w:instrText>
      </w:r>
      <w:r w:rsidR="00E4472D">
        <w:rPr>
          <w:sz w:val="24"/>
          <w:szCs w:val="24"/>
          <w:lang w:val="en-CA"/>
        </w:rPr>
        <w:fldChar w:fldCharType="end"/>
      </w:r>
      <w:r w:rsidR="00026B0F">
        <w:rPr>
          <w:b/>
          <w:bCs/>
          <w:smallCaps/>
          <w:sz w:val="36"/>
          <w:szCs w:val="36"/>
        </w:rPr>
        <w:t xml:space="preserve"> </w:t>
      </w:r>
      <w:r>
        <w:rPr>
          <w:b/>
          <w:bCs/>
          <w:smallCaps/>
          <w:sz w:val="36"/>
          <w:szCs w:val="36"/>
        </w:rPr>
        <w:t xml:space="preserve"> </w:t>
      </w:r>
      <w:r w:rsidR="00E4472D">
        <w:rPr>
          <w:b/>
          <w:bCs/>
          <w:smallCaps/>
          <w:sz w:val="36"/>
          <w:szCs w:val="36"/>
        </w:rPr>
        <w:t xml:space="preserve">Baker </w:t>
      </w:r>
      <w:proofErr w:type="spellStart"/>
      <w:r w:rsidR="00E4472D">
        <w:rPr>
          <w:b/>
          <w:bCs/>
          <w:smallCaps/>
          <w:sz w:val="36"/>
          <w:szCs w:val="36"/>
        </w:rPr>
        <w:t>Dublikar</w:t>
      </w:r>
      <w:proofErr w:type="spellEnd"/>
    </w:p>
    <w:p w14:paraId="18C7026D" w14:textId="77777777" w:rsidR="00E4472D" w:rsidRPr="00E4472D" w:rsidRDefault="00026B0F" w:rsidP="00E4472D">
      <w:pPr>
        <w:rPr>
          <w:b/>
          <w:bCs/>
          <w:smallCaps/>
          <w:sz w:val="24"/>
          <w:szCs w:val="24"/>
        </w:rPr>
      </w:pPr>
      <w:r>
        <w:rPr>
          <w:b/>
          <w:bCs/>
          <w:smallCaps/>
          <w:sz w:val="36"/>
          <w:szCs w:val="36"/>
        </w:rPr>
        <w:t xml:space="preserve"> </w:t>
      </w:r>
      <w:r w:rsidR="00973A46">
        <w:rPr>
          <w:b/>
          <w:bCs/>
          <w:smallCaps/>
          <w:sz w:val="36"/>
          <w:szCs w:val="36"/>
        </w:rPr>
        <w:t xml:space="preserve"> </w:t>
      </w:r>
      <w:r w:rsidR="00E4472D" w:rsidRPr="00E4472D">
        <w:rPr>
          <w:b/>
          <w:bCs/>
          <w:smallCaps/>
          <w:sz w:val="24"/>
          <w:szCs w:val="24"/>
        </w:rPr>
        <w:t>Attorneys At Law</w:t>
      </w:r>
    </w:p>
    <w:p w14:paraId="25B4D49C" w14:textId="77777777" w:rsidR="00E4472D" w:rsidRDefault="00E4472D" w:rsidP="00E4472D">
      <w:pPr>
        <w:rPr>
          <w:b/>
          <w:bCs/>
          <w:smallCaps/>
          <w:sz w:val="16"/>
          <w:szCs w:val="16"/>
        </w:rPr>
      </w:pPr>
    </w:p>
    <w:p w14:paraId="7029EF5C" w14:textId="77777777" w:rsidR="00473F3E" w:rsidRDefault="00473F3E" w:rsidP="00473F3E">
      <w:pPr>
        <w:rPr>
          <w:smallCaps/>
          <w:sz w:val="16"/>
          <w:szCs w:val="16"/>
        </w:rPr>
      </w:pPr>
      <w:r>
        <w:rPr>
          <w:smallCaps/>
          <w:sz w:val="16"/>
          <w:szCs w:val="16"/>
        </w:rPr>
        <w:t xml:space="preserve">| Ralph F. </w:t>
      </w:r>
      <w:proofErr w:type="spellStart"/>
      <w:r>
        <w:rPr>
          <w:smallCaps/>
          <w:sz w:val="16"/>
          <w:szCs w:val="16"/>
        </w:rPr>
        <w:t>Dublikar</w:t>
      </w:r>
      <w:proofErr w:type="spellEnd"/>
      <w:r>
        <w:rPr>
          <w:smallCaps/>
          <w:sz w:val="16"/>
          <w:szCs w:val="16"/>
        </w:rPr>
        <w:t xml:space="preserve">  | Gregory A. Beck  | James F. Mathews  </w:t>
      </w:r>
    </w:p>
    <w:p w14:paraId="13D07D15" w14:textId="58CA1211" w:rsidR="00473F3E" w:rsidRDefault="00473F3E" w:rsidP="00473F3E">
      <w:pPr>
        <w:rPr>
          <w:sz w:val="16"/>
          <w:szCs w:val="16"/>
        </w:rPr>
      </w:pPr>
      <w:r>
        <w:rPr>
          <w:smallCaps/>
          <w:sz w:val="16"/>
          <w:szCs w:val="16"/>
        </w:rPr>
        <w:t>| Mel L. Lute, Jr.  | Daniel J. Funk | Andrea K. Ziarko</w:t>
      </w:r>
    </w:p>
    <w:p w14:paraId="405B4E65" w14:textId="77777777" w:rsidR="00473F3E" w:rsidRDefault="00473F3E" w:rsidP="00473F3E">
      <w:pPr>
        <w:rPr>
          <w:smallCaps/>
          <w:sz w:val="16"/>
          <w:szCs w:val="16"/>
        </w:rPr>
      </w:pPr>
      <w:r>
        <w:rPr>
          <w:smallCaps/>
          <w:sz w:val="16"/>
          <w:szCs w:val="16"/>
        </w:rPr>
        <w:t xml:space="preserve">| Tonya J. Rogers  </w:t>
      </w:r>
    </w:p>
    <w:p w14:paraId="09DB4246" w14:textId="77777777" w:rsidR="00473F3E" w:rsidRDefault="00473F3E" w:rsidP="00473F3E">
      <w:pPr>
        <w:rPr>
          <w:smallCaps/>
          <w:sz w:val="16"/>
          <w:szCs w:val="16"/>
        </w:rPr>
      </w:pPr>
    </w:p>
    <w:p w14:paraId="3B8A3924" w14:textId="77777777" w:rsidR="00473F3E" w:rsidRDefault="00473F3E" w:rsidP="00473F3E">
      <w:pPr>
        <w:rPr>
          <w:smallCaps/>
          <w:sz w:val="16"/>
          <w:szCs w:val="16"/>
        </w:rPr>
      </w:pPr>
      <w:r>
        <w:rPr>
          <w:smallCaps/>
          <w:sz w:val="16"/>
          <w:szCs w:val="16"/>
        </w:rPr>
        <w:t xml:space="preserve">| Brittany A. Bowland | Adam J. Ares </w:t>
      </w:r>
    </w:p>
    <w:p w14:paraId="40BEFF62" w14:textId="77777777" w:rsidR="00473F3E" w:rsidRDefault="00473F3E" w:rsidP="00473F3E">
      <w:pPr>
        <w:rPr>
          <w:smallCaps/>
          <w:sz w:val="16"/>
          <w:szCs w:val="16"/>
        </w:rPr>
      </w:pPr>
    </w:p>
    <w:p w14:paraId="7A581C41" w14:textId="77777777" w:rsidR="00473F3E" w:rsidRDefault="00473F3E" w:rsidP="00473F3E">
      <w:pPr>
        <w:ind w:right="-720"/>
        <w:rPr>
          <w:sz w:val="16"/>
          <w:szCs w:val="16"/>
        </w:rPr>
      </w:pPr>
      <w:r>
        <w:rPr>
          <w:smallCaps/>
          <w:sz w:val="16"/>
          <w:szCs w:val="16"/>
        </w:rPr>
        <w:t>| Jack R. Baker</w:t>
      </w:r>
      <w:r>
        <w:rPr>
          <w:sz w:val="16"/>
          <w:szCs w:val="16"/>
        </w:rPr>
        <w:t xml:space="preserve"> (1944-2019)</w:t>
      </w:r>
    </w:p>
    <w:p w14:paraId="2140D8A9" w14:textId="77777777" w:rsidR="00473F3E" w:rsidRDefault="00473F3E" w:rsidP="00473F3E">
      <w:pPr>
        <w:ind w:right="-720"/>
        <w:rPr>
          <w:b/>
          <w:smallCaps/>
          <w:sz w:val="24"/>
          <w:szCs w:val="24"/>
        </w:rPr>
      </w:pPr>
      <w:r>
        <w:rPr>
          <w:smallCaps/>
          <w:sz w:val="16"/>
          <w:szCs w:val="16"/>
        </w:rPr>
        <w:t>| Donald P. Wiley (1959-2021)</w:t>
      </w:r>
    </w:p>
    <w:p w14:paraId="1022D845" w14:textId="77777777" w:rsidR="000B1022" w:rsidRPr="00E4472D" w:rsidRDefault="000B1022" w:rsidP="00E96885">
      <w:pPr>
        <w:ind w:left="1620" w:right="317"/>
        <w:jc w:val="right"/>
        <w:rPr>
          <w:b/>
          <w:smallCaps/>
        </w:rPr>
      </w:pPr>
      <w:r>
        <w:rPr>
          <w:smallCaps/>
          <w:sz w:val="24"/>
          <w:szCs w:val="24"/>
        </w:rPr>
        <w:br w:type="column"/>
      </w:r>
      <w:r w:rsidR="00503500" w:rsidRPr="00E96885">
        <w:rPr>
          <w:b/>
          <w:smallCaps/>
          <w:sz w:val="24"/>
          <w:szCs w:val="24"/>
        </w:rPr>
        <w:t xml:space="preserve"> </w:t>
      </w:r>
      <w:r w:rsidRPr="00E4472D">
        <w:rPr>
          <w:b/>
          <w:smallCaps/>
        </w:rPr>
        <w:t>400 South Main Street</w:t>
      </w:r>
    </w:p>
    <w:p w14:paraId="23CF9B92" w14:textId="77777777" w:rsidR="000B1022" w:rsidRPr="00E4472D" w:rsidRDefault="00E96885" w:rsidP="00E4472D">
      <w:pPr>
        <w:ind w:right="317"/>
        <w:jc w:val="right"/>
        <w:rPr>
          <w:b/>
          <w:smallCaps/>
        </w:rPr>
      </w:pPr>
      <w:r w:rsidRPr="00E4472D">
        <w:rPr>
          <w:b/>
          <w:smallCaps/>
        </w:rPr>
        <w:t xml:space="preserve"> </w:t>
      </w:r>
      <w:r w:rsidR="000B1022" w:rsidRPr="00E4472D">
        <w:rPr>
          <w:b/>
          <w:smallCaps/>
        </w:rPr>
        <w:t>North Canton,</w:t>
      </w:r>
      <w:r w:rsidR="00246CA8">
        <w:rPr>
          <w:b/>
          <w:smallCaps/>
        </w:rPr>
        <w:t xml:space="preserve"> Ohio</w:t>
      </w:r>
      <w:r w:rsidR="00E4472D">
        <w:rPr>
          <w:b/>
          <w:smallCaps/>
        </w:rPr>
        <w:t xml:space="preserve"> </w:t>
      </w:r>
      <w:r w:rsidR="000B1022" w:rsidRPr="00E4472D">
        <w:rPr>
          <w:b/>
          <w:smallCaps/>
        </w:rPr>
        <w:t xml:space="preserve"> 44720</w:t>
      </w:r>
    </w:p>
    <w:p w14:paraId="6E8FF4F8" w14:textId="77777777" w:rsidR="000B1022" w:rsidRPr="00E96885" w:rsidRDefault="00E81A9A" w:rsidP="00E96885">
      <w:pPr>
        <w:ind w:left="2880" w:right="317" w:firstLine="720"/>
        <w:jc w:val="right"/>
        <w:rPr>
          <w:b/>
          <w:smallCaps/>
          <w:sz w:val="16"/>
          <w:szCs w:val="16"/>
        </w:rPr>
      </w:pPr>
      <w:r w:rsidRPr="00E96885">
        <w:rPr>
          <w:b/>
          <w:smallCaps/>
        </w:rPr>
        <w:t xml:space="preserve">   </w:t>
      </w:r>
      <w:r w:rsidR="00E96885">
        <w:rPr>
          <w:b/>
          <w:smallCaps/>
        </w:rPr>
        <w:t xml:space="preserve">  </w:t>
      </w:r>
      <w:r w:rsidR="000B1022" w:rsidRPr="00E96885">
        <w:rPr>
          <w:b/>
          <w:smallCaps/>
          <w:sz w:val="16"/>
          <w:szCs w:val="16"/>
        </w:rPr>
        <w:t>Ph:  330-499-6000</w:t>
      </w:r>
    </w:p>
    <w:p w14:paraId="23B5D27E" w14:textId="77777777" w:rsidR="000B1022" w:rsidRPr="00E96885" w:rsidRDefault="00E96885" w:rsidP="00E96885">
      <w:pPr>
        <w:ind w:left="2880" w:right="317" w:firstLine="720"/>
        <w:jc w:val="right"/>
        <w:rPr>
          <w:b/>
          <w:smallCaps/>
          <w:sz w:val="16"/>
          <w:szCs w:val="16"/>
        </w:rPr>
      </w:pPr>
      <w:r>
        <w:rPr>
          <w:b/>
          <w:smallCaps/>
          <w:sz w:val="16"/>
          <w:szCs w:val="16"/>
        </w:rPr>
        <w:t xml:space="preserve">   </w:t>
      </w:r>
      <w:r w:rsidR="000B1022" w:rsidRPr="00E96885">
        <w:rPr>
          <w:b/>
          <w:smallCaps/>
          <w:sz w:val="16"/>
          <w:szCs w:val="16"/>
        </w:rPr>
        <w:t>Fax:  330-499-6423</w:t>
      </w:r>
    </w:p>
    <w:p w14:paraId="1159041E" w14:textId="77777777" w:rsidR="00E81A9A" w:rsidRPr="00E96885" w:rsidRDefault="00E81A9A" w:rsidP="00E96885">
      <w:pPr>
        <w:ind w:left="2880" w:right="317" w:firstLine="720"/>
        <w:jc w:val="right"/>
        <w:rPr>
          <w:b/>
          <w:smallCaps/>
        </w:rPr>
      </w:pPr>
    </w:p>
    <w:p w14:paraId="1EFFAC4C" w14:textId="77777777" w:rsidR="00E96885" w:rsidRPr="00E96885" w:rsidRDefault="00E96885" w:rsidP="00E96885">
      <w:pPr>
        <w:ind w:right="317"/>
        <w:jc w:val="right"/>
        <w:rPr>
          <w:b/>
          <w:sz w:val="16"/>
          <w:szCs w:val="16"/>
        </w:rPr>
      </w:pPr>
      <w:r w:rsidRPr="00E96885">
        <w:rPr>
          <w:b/>
          <w:smallCaps/>
          <w:sz w:val="16"/>
          <w:szCs w:val="16"/>
        </w:rPr>
        <w:tab/>
      </w:r>
      <w:r w:rsidRPr="00E96885">
        <w:rPr>
          <w:b/>
          <w:smallCaps/>
          <w:sz w:val="16"/>
          <w:szCs w:val="16"/>
        </w:rPr>
        <w:tab/>
      </w:r>
      <w:r w:rsidRPr="00E96885">
        <w:rPr>
          <w:b/>
          <w:sz w:val="16"/>
          <w:szCs w:val="16"/>
        </w:rPr>
        <w:t>bakerfirm.com</w:t>
      </w:r>
    </w:p>
    <w:p w14:paraId="51819854" w14:textId="77777777" w:rsidR="00E96885" w:rsidRDefault="00E96885" w:rsidP="00E96885">
      <w:pPr>
        <w:ind w:right="317"/>
        <w:jc w:val="right"/>
        <w:rPr>
          <w:sz w:val="18"/>
          <w:szCs w:val="18"/>
        </w:rPr>
      </w:pPr>
    </w:p>
    <w:p w14:paraId="50D33B7E" w14:textId="7B36D7A1" w:rsidR="004B5253" w:rsidRPr="00C53536" w:rsidRDefault="00E96885" w:rsidP="00C53536">
      <w:pPr>
        <w:ind w:right="317"/>
        <w:jc w:val="right"/>
        <w:rPr>
          <w:b/>
          <w:sz w:val="16"/>
          <w:szCs w:val="16"/>
        </w:rPr>
        <w:sectPr w:rsidR="004B5253" w:rsidRPr="00C53536" w:rsidSect="00734ED5">
          <w:headerReference w:type="default" r:id="rId7"/>
          <w:pgSz w:w="12240" w:h="15840"/>
          <w:pgMar w:top="1170" w:right="540" w:bottom="1440" w:left="720" w:header="720" w:footer="720" w:gutter="0"/>
          <w:cols w:num="2" w:space="86"/>
          <w:titlePg/>
          <w:docGrid w:linePitch="360"/>
        </w:sectPr>
      </w:pPr>
      <w:r>
        <w:rPr>
          <w:sz w:val="18"/>
          <w:szCs w:val="18"/>
        </w:rPr>
        <w:tab/>
      </w:r>
      <w:r>
        <w:rPr>
          <w:sz w:val="18"/>
          <w:szCs w:val="18"/>
        </w:rPr>
        <w:tab/>
      </w:r>
      <w:r w:rsidR="00E81A9A" w:rsidRPr="00E4472D">
        <w:rPr>
          <w:b/>
          <w:sz w:val="16"/>
          <w:szCs w:val="16"/>
        </w:rPr>
        <w:t>E</w:t>
      </w:r>
      <w:r w:rsidRPr="00E4472D">
        <w:rPr>
          <w:b/>
          <w:sz w:val="16"/>
          <w:szCs w:val="16"/>
        </w:rPr>
        <w:t>-</w:t>
      </w:r>
      <w:r w:rsidR="00E81A9A" w:rsidRPr="00E4472D">
        <w:rPr>
          <w:b/>
          <w:sz w:val="16"/>
          <w:szCs w:val="16"/>
        </w:rPr>
        <w:t xml:space="preserve">mail:  </w:t>
      </w:r>
      <w:r w:rsidR="0055359F">
        <w:rPr>
          <w:b/>
          <w:sz w:val="16"/>
          <w:szCs w:val="16"/>
        </w:rPr>
        <w:t>tonya</w:t>
      </w:r>
      <w:r w:rsidR="004B5253" w:rsidRPr="00E4472D">
        <w:rPr>
          <w:b/>
          <w:sz w:val="16"/>
          <w:szCs w:val="16"/>
        </w:rPr>
        <w:t>@bakerfirm.co</w:t>
      </w:r>
      <w:r w:rsidR="008244E6">
        <w:rPr>
          <w:b/>
          <w:sz w:val="16"/>
          <w:szCs w:val="16"/>
        </w:rPr>
        <w:t>m</w:t>
      </w:r>
    </w:p>
    <w:p w14:paraId="144ED613" w14:textId="77777777" w:rsidR="000C5C69" w:rsidRDefault="000C5C69" w:rsidP="001D04FB">
      <w:pPr>
        <w:rPr>
          <w:sz w:val="26"/>
          <w:szCs w:val="26"/>
        </w:rPr>
      </w:pPr>
    </w:p>
    <w:p w14:paraId="1B09015D" w14:textId="507E31F1" w:rsidR="00E84FDC" w:rsidRPr="002D43E5" w:rsidRDefault="00144997" w:rsidP="00521939">
      <w:pPr>
        <w:jc w:val="center"/>
        <w:rPr>
          <w:sz w:val="26"/>
          <w:szCs w:val="26"/>
        </w:rPr>
      </w:pPr>
      <w:r>
        <w:rPr>
          <w:sz w:val="26"/>
          <w:szCs w:val="26"/>
        </w:rPr>
        <w:t>April 11</w:t>
      </w:r>
      <w:r w:rsidR="004623FF">
        <w:rPr>
          <w:sz w:val="26"/>
          <w:szCs w:val="26"/>
        </w:rPr>
        <w:t xml:space="preserve"> 2022</w:t>
      </w:r>
    </w:p>
    <w:p w14:paraId="4CC31E99" w14:textId="642DB3E4" w:rsidR="00E56658" w:rsidRPr="00C45C53" w:rsidRDefault="00E56658" w:rsidP="00E84FDC">
      <w:pPr>
        <w:rPr>
          <w:sz w:val="26"/>
          <w:szCs w:val="26"/>
        </w:rPr>
      </w:pPr>
    </w:p>
    <w:p w14:paraId="7E1913CB" w14:textId="15FF9E3E" w:rsidR="00144997" w:rsidRPr="00144997" w:rsidRDefault="00144997" w:rsidP="009F5392">
      <w:pPr>
        <w:rPr>
          <w:sz w:val="26"/>
          <w:szCs w:val="26"/>
        </w:rPr>
      </w:pPr>
      <w:r w:rsidRPr="00144997">
        <w:rPr>
          <w:sz w:val="26"/>
          <w:szCs w:val="26"/>
        </w:rPr>
        <w:t xml:space="preserve">Heidi Fought, Executive Director </w:t>
      </w:r>
    </w:p>
    <w:p w14:paraId="0A667D07" w14:textId="1D2DC5F3" w:rsidR="00144997" w:rsidRPr="00144997" w:rsidRDefault="00144997" w:rsidP="009F5392">
      <w:pPr>
        <w:rPr>
          <w:sz w:val="26"/>
          <w:szCs w:val="26"/>
        </w:rPr>
      </w:pPr>
      <w:r w:rsidRPr="00144997">
        <w:rPr>
          <w:sz w:val="26"/>
          <w:szCs w:val="26"/>
        </w:rPr>
        <w:t xml:space="preserve">Ohio Township Association </w:t>
      </w:r>
    </w:p>
    <w:p w14:paraId="1FEF7A7D" w14:textId="77777777" w:rsidR="00144997" w:rsidRPr="00144997" w:rsidRDefault="00144997" w:rsidP="00144997">
      <w:pPr>
        <w:autoSpaceDE/>
        <w:autoSpaceDN/>
        <w:adjustRightInd/>
        <w:rPr>
          <w:rFonts w:eastAsia="Times New Roman"/>
          <w:color w:val="000000"/>
          <w:sz w:val="26"/>
          <w:szCs w:val="26"/>
        </w:rPr>
      </w:pPr>
      <w:r w:rsidRPr="00144997">
        <w:rPr>
          <w:rFonts w:eastAsia="Times New Roman"/>
          <w:color w:val="000000"/>
          <w:sz w:val="26"/>
          <w:szCs w:val="26"/>
        </w:rPr>
        <w:t>6500 Taylor Road, Suite A</w:t>
      </w:r>
    </w:p>
    <w:p w14:paraId="413AC2C2" w14:textId="77777777" w:rsidR="00144997" w:rsidRPr="00144997" w:rsidRDefault="00144997" w:rsidP="00144997">
      <w:pPr>
        <w:autoSpaceDE/>
        <w:autoSpaceDN/>
        <w:adjustRightInd/>
        <w:rPr>
          <w:rFonts w:eastAsia="Times New Roman"/>
          <w:color w:val="000000"/>
          <w:sz w:val="26"/>
          <w:szCs w:val="26"/>
        </w:rPr>
      </w:pPr>
      <w:r w:rsidRPr="00144997">
        <w:rPr>
          <w:rFonts w:eastAsia="Times New Roman"/>
          <w:color w:val="000000"/>
          <w:sz w:val="26"/>
          <w:szCs w:val="26"/>
        </w:rPr>
        <w:t>Blacklick, OH 43004</w:t>
      </w:r>
    </w:p>
    <w:p w14:paraId="000FC815" w14:textId="77777777" w:rsidR="00144997" w:rsidRPr="00144997" w:rsidRDefault="00144997" w:rsidP="009F5392">
      <w:pPr>
        <w:rPr>
          <w:sz w:val="26"/>
          <w:szCs w:val="26"/>
        </w:rPr>
      </w:pPr>
    </w:p>
    <w:p w14:paraId="5105D6D4" w14:textId="77777777" w:rsidR="00521B89" w:rsidRPr="00521B89" w:rsidRDefault="00521B89" w:rsidP="00E84FDC">
      <w:pPr>
        <w:rPr>
          <w:i/>
          <w:iCs/>
          <w:sz w:val="26"/>
          <w:szCs w:val="26"/>
        </w:rPr>
      </w:pPr>
    </w:p>
    <w:p w14:paraId="3632371E" w14:textId="0057E9C2" w:rsidR="00E56658" w:rsidRPr="002D43E5" w:rsidRDefault="00E56658" w:rsidP="00521B89">
      <w:pPr>
        <w:ind w:firstLine="720"/>
        <w:rPr>
          <w:sz w:val="26"/>
          <w:szCs w:val="26"/>
        </w:rPr>
      </w:pPr>
      <w:r w:rsidRPr="002D43E5">
        <w:rPr>
          <w:sz w:val="26"/>
          <w:szCs w:val="26"/>
          <w:lang w:val="en-CA"/>
        </w:rPr>
        <w:fldChar w:fldCharType="begin"/>
      </w:r>
      <w:r w:rsidRPr="002D43E5">
        <w:rPr>
          <w:sz w:val="26"/>
          <w:szCs w:val="26"/>
          <w:lang w:val="en-CA"/>
        </w:rPr>
        <w:instrText xml:space="preserve"> SEQ CHAPTER \h \r 1</w:instrText>
      </w:r>
      <w:r w:rsidRPr="002D43E5">
        <w:rPr>
          <w:sz w:val="26"/>
          <w:szCs w:val="26"/>
          <w:lang w:val="en-CA"/>
        </w:rPr>
        <w:fldChar w:fldCharType="end"/>
      </w:r>
      <w:r w:rsidRPr="002D43E5">
        <w:rPr>
          <w:sz w:val="26"/>
          <w:szCs w:val="26"/>
        </w:rPr>
        <w:t>RE:</w:t>
      </w:r>
      <w:r w:rsidRPr="002D43E5">
        <w:rPr>
          <w:sz w:val="26"/>
          <w:szCs w:val="26"/>
        </w:rPr>
        <w:tab/>
        <w:t>American Rescue Plan Funds</w:t>
      </w:r>
    </w:p>
    <w:p w14:paraId="3F794354" w14:textId="77777777" w:rsidR="00E56658" w:rsidRPr="002D43E5" w:rsidRDefault="00E56658" w:rsidP="00E56658">
      <w:pPr>
        <w:rPr>
          <w:sz w:val="26"/>
          <w:szCs w:val="26"/>
        </w:rPr>
      </w:pPr>
    </w:p>
    <w:p w14:paraId="2A18C7A8" w14:textId="0D6AB376" w:rsidR="00E56658" w:rsidRDefault="00E56658" w:rsidP="00E56658">
      <w:pPr>
        <w:rPr>
          <w:sz w:val="26"/>
          <w:szCs w:val="26"/>
        </w:rPr>
      </w:pPr>
      <w:r w:rsidRPr="002D43E5">
        <w:rPr>
          <w:sz w:val="26"/>
          <w:szCs w:val="26"/>
        </w:rPr>
        <w:t xml:space="preserve">Dear </w:t>
      </w:r>
      <w:r w:rsidR="00144997">
        <w:rPr>
          <w:sz w:val="26"/>
          <w:szCs w:val="26"/>
        </w:rPr>
        <w:t xml:space="preserve">Heidi: </w:t>
      </w:r>
    </w:p>
    <w:p w14:paraId="51737E79" w14:textId="56C7C22B" w:rsidR="00144997" w:rsidRDefault="00144997" w:rsidP="00E56658">
      <w:pPr>
        <w:rPr>
          <w:sz w:val="26"/>
          <w:szCs w:val="26"/>
        </w:rPr>
      </w:pPr>
    </w:p>
    <w:p w14:paraId="277C2731" w14:textId="5AFA6D75" w:rsidR="00144997" w:rsidRDefault="00144997" w:rsidP="00144997">
      <w:pPr>
        <w:jc w:val="both"/>
        <w:rPr>
          <w:sz w:val="26"/>
          <w:szCs w:val="26"/>
        </w:rPr>
      </w:pPr>
      <w:r>
        <w:rPr>
          <w:sz w:val="26"/>
          <w:szCs w:val="26"/>
        </w:rPr>
        <w:t xml:space="preserve">This letter follows your conversation with Greg Beck relating to the procurement policies and forms we have been providing to clients relating to the American Rescue Plan Act funds.  As most </w:t>
      </w:r>
      <w:r w:rsidR="00210CBB">
        <w:rPr>
          <w:sz w:val="26"/>
          <w:szCs w:val="26"/>
        </w:rPr>
        <w:t>Townships do</w:t>
      </w:r>
      <w:r w:rsidR="00817A9A">
        <w:rPr>
          <w:sz w:val="26"/>
          <w:szCs w:val="26"/>
        </w:rPr>
        <w:t xml:space="preserve"> not </w:t>
      </w:r>
      <w:r w:rsidR="00210CBB">
        <w:rPr>
          <w:sz w:val="26"/>
          <w:szCs w:val="26"/>
        </w:rPr>
        <w:t>receive</w:t>
      </w:r>
      <w:r>
        <w:rPr>
          <w:sz w:val="26"/>
          <w:szCs w:val="26"/>
        </w:rPr>
        <w:t xml:space="preserve"> federal funding, Townships are not generally familiar with federal procurement standards, which are applicable to all ARPA expenditures.  Compliance with federal procurement requirements was not an issue under the CARES Act because everyone was under a state of emergency, which is one of the exceptions to the federal guidelines. Our firm similarly was not familiar with federal procurement standards, and it soon became apparent that we would need to be fluent in that aspect </w:t>
      </w:r>
      <w:proofErr w:type="gramStart"/>
      <w:r>
        <w:rPr>
          <w:sz w:val="26"/>
          <w:szCs w:val="26"/>
        </w:rPr>
        <w:t>in order to</w:t>
      </w:r>
      <w:proofErr w:type="gramEnd"/>
      <w:r>
        <w:rPr>
          <w:sz w:val="26"/>
          <w:szCs w:val="26"/>
        </w:rPr>
        <w:t xml:space="preserve"> properly advise the Townships we represent, as well as other entities. </w:t>
      </w:r>
      <w:r w:rsidR="000C5C69">
        <w:rPr>
          <w:sz w:val="26"/>
          <w:szCs w:val="26"/>
        </w:rPr>
        <w:t xml:space="preserve">For that reason, last month Attorney Jim Mathews and I, along with one of our associates, Adam Ares, spent a considerable amount of time reviewing the federal procurement standards and determining best practices. </w:t>
      </w:r>
    </w:p>
    <w:p w14:paraId="50E6A7A8" w14:textId="337C5A05" w:rsidR="00767347" w:rsidRDefault="00767347" w:rsidP="00767347">
      <w:pPr>
        <w:jc w:val="both"/>
        <w:rPr>
          <w:sz w:val="26"/>
          <w:szCs w:val="26"/>
        </w:rPr>
      </w:pPr>
    </w:p>
    <w:p w14:paraId="01673B0D" w14:textId="7069CDB9" w:rsidR="001521EF" w:rsidRDefault="00144997" w:rsidP="001521EF">
      <w:pPr>
        <w:jc w:val="both"/>
        <w:rPr>
          <w:sz w:val="26"/>
          <w:szCs w:val="26"/>
        </w:rPr>
      </w:pPr>
      <w:r>
        <w:rPr>
          <w:sz w:val="26"/>
          <w:szCs w:val="26"/>
        </w:rPr>
        <w:t xml:space="preserve">The Final Rule was clear that all funds would be </w:t>
      </w:r>
      <w:r w:rsidR="001521EF">
        <w:rPr>
          <w:sz w:val="26"/>
          <w:szCs w:val="26"/>
        </w:rPr>
        <w:t>subject to</w:t>
      </w:r>
      <w:r>
        <w:rPr>
          <w:sz w:val="26"/>
          <w:szCs w:val="26"/>
        </w:rPr>
        <w:t xml:space="preserve"> federal procurement standards, which are referred to as the </w:t>
      </w:r>
      <w:r w:rsidR="001521EF">
        <w:rPr>
          <w:sz w:val="26"/>
          <w:szCs w:val="26"/>
        </w:rPr>
        <w:t xml:space="preserve">Uniform Guidance (“UG”) </w:t>
      </w:r>
      <w:r>
        <w:rPr>
          <w:sz w:val="26"/>
          <w:szCs w:val="26"/>
        </w:rPr>
        <w:t xml:space="preserve">and generally set forth in </w:t>
      </w:r>
      <w:r w:rsidR="001521EF" w:rsidRPr="00602D1A">
        <w:rPr>
          <w:sz w:val="26"/>
          <w:szCs w:val="26"/>
        </w:rPr>
        <w:t>2 C.F.R. Part 200</w:t>
      </w:r>
      <w:r w:rsidR="001521EF">
        <w:rPr>
          <w:sz w:val="26"/>
          <w:szCs w:val="26"/>
        </w:rPr>
        <w:t xml:space="preserve">.  </w:t>
      </w:r>
      <w:r w:rsidR="007B533D">
        <w:rPr>
          <w:sz w:val="26"/>
          <w:szCs w:val="26"/>
        </w:rPr>
        <w:t>Notably, however, the UG does not only contain requirements for when funds are spent, but the UG also has requirements for recipients to have in place prior to the expenditure of any funds.  The UG specifically requires any recipient to have</w:t>
      </w:r>
      <w:r w:rsidR="001521EF">
        <w:rPr>
          <w:sz w:val="26"/>
          <w:szCs w:val="26"/>
        </w:rPr>
        <w:t xml:space="preserve"> “internal controls” in place (2 C.F.R. 200.303), documented procurement policies (2. C.F.R. 200.318(a)), and written standards of conduct relating to conflicts of interest (2 C.F.R. 200.318(c)(1)).  The entity is also required to maintain all records necessary to document the detail involved in the procurement. (2 C.F.R. 200.318(i)). </w:t>
      </w:r>
    </w:p>
    <w:p w14:paraId="26063602" w14:textId="5752B1AF" w:rsidR="007B533D" w:rsidRDefault="007B533D" w:rsidP="001521EF">
      <w:pPr>
        <w:jc w:val="both"/>
        <w:rPr>
          <w:sz w:val="26"/>
          <w:szCs w:val="26"/>
        </w:rPr>
      </w:pPr>
    </w:p>
    <w:p w14:paraId="1A7760F1" w14:textId="169C0A8A" w:rsidR="007B533D" w:rsidRDefault="00E24260" w:rsidP="001521EF">
      <w:pPr>
        <w:jc w:val="both"/>
        <w:rPr>
          <w:sz w:val="26"/>
          <w:szCs w:val="26"/>
        </w:rPr>
      </w:pPr>
      <w:r>
        <w:rPr>
          <w:sz w:val="26"/>
          <w:szCs w:val="26"/>
        </w:rPr>
        <w:t>Attorney Mathews and I</w:t>
      </w:r>
      <w:r w:rsidR="007B533D">
        <w:rPr>
          <w:sz w:val="26"/>
          <w:szCs w:val="26"/>
        </w:rPr>
        <w:t xml:space="preserve"> reviewed all of 2 C.F.R. part 200, as well as accompanying provisions, and drafted comprehensive procurement policy, a copy of which is attached. The UG are created and monitored by the Office of </w:t>
      </w:r>
      <w:r>
        <w:rPr>
          <w:sz w:val="26"/>
          <w:szCs w:val="26"/>
        </w:rPr>
        <w:t>Management and Budget</w:t>
      </w:r>
      <w:r w:rsidR="007B533D">
        <w:rPr>
          <w:sz w:val="26"/>
          <w:szCs w:val="26"/>
        </w:rPr>
        <w:t xml:space="preserve"> (OM</w:t>
      </w:r>
      <w:r>
        <w:rPr>
          <w:sz w:val="26"/>
          <w:szCs w:val="26"/>
        </w:rPr>
        <w:t>B</w:t>
      </w:r>
      <w:r w:rsidR="007B533D">
        <w:rPr>
          <w:sz w:val="26"/>
          <w:szCs w:val="26"/>
        </w:rPr>
        <w:t>)</w:t>
      </w:r>
      <w:r>
        <w:rPr>
          <w:sz w:val="26"/>
          <w:szCs w:val="26"/>
        </w:rPr>
        <w:t xml:space="preserve">, which significantly revamped the UG in 2020.  </w:t>
      </w:r>
      <w:r w:rsidR="00817A9A">
        <w:rPr>
          <w:sz w:val="26"/>
          <w:szCs w:val="26"/>
        </w:rPr>
        <w:t>As such</w:t>
      </w:r>
      <w:r>
        <w:rPr>
          <w:sz w:val="26"/>
          <w:szCs w:val="26"/>
        </w:rPr>
        <w:t>, we were unable to rely on many other procurement policies or trainings, as we had to review all the new provisions and determine which had been updated, added, or removed.  Additionally, although federal funds are governed by the UG, recipients are always required to comply with the most stringent regulation.  Therefore, if Ohio has a more stringent procurement requirement than federal</w:t>
      </w:r>
      <w:r w:rsidR="00817A9A">
        <w:rPr>
          <w:sz w:val="26"/>
          <w:szCs w:val="26"/>
        </w:rPr>
        <w:t xml:space="preserve"> law</w:t>
      </w:r>
      <w:r>
        <w:rPr>
          <w:sz w:val="26"/>
          <w:szCs w:val="26"/>
        </w:rPr>
        <w:t xml:space="preserve">, then Ohio law governs.  For that reason, </w:t>
      </w:r>
      <w:r w:rsidR="000C5C69">
        <w:rPr>
          <w:sz w:val="26"/>
          <w:szCs w:val="26"/>
        </w:rPr>
        <w:t>Attorney</w:t>
      </w:r>
      <w:r>
        <w:rPr>
          <w:sz w:val="26"/>
          <w:szCs w:val="26"/>
        </w:rPr>
        <w:t xml:space="preserve"> Ares</w:t>
      </w:r>
      <w:r w:rsidR="000C5C69">
        <w:rPr>
          <w:sz w:val="26"/>
          <w:szCs w:val="26"/>
        </w:rPr>
        <w:t xml:space="preserve"> and I </w:t>
      </w:r>
      <w:r w:rsidR="007B533D">
        <w:rPr>
          <w:sz w:val="26"/>
          <w:szCs w:val="26"/>
        </w:rPr>
        <w:t xml:space="preserve">drafted a spreadsheet </w:t>
      </w:r>
      <w:r w:rsidR="00817A9A">
        <w:rPr>
          <w:sz w:val="26"/>
          <w:szCs w:val="26"/>
        </w:rPr>
        <w:t>to compare</w:t>
      </w:r>
      <w:r w:rsidR="007B533D">
        <w:rPr>
          <w:sz w:val="26"/>
          <w:szCs w:val="26"/>
        </w:rPr>
        <w:t xml:space="preserve"> all the UG requirements to state of Ohio procurement requirements for Townships</w:t>
      </w:r>
      <w:r>
        <w:rPr>
          <w:sz w:val="26"/>
          <w:szCs w:val="26"/>
        </w:rPr>
        <w:t>. After comparing all applicable UG requirements to Ohio requirements, Attorney Mathews and I determined when the UG controls and when Ohio law controls. This is most significant in purchases between $50,000 and $250,000, as well as when Township attempt to utilize cooperative purchasing programs</w:t>
      </w:r>
      <w:r w:rsidR="00817A9A">
        <w:rPr>
          <w:sz w:val="26"/>
          <w:szCs w:val="26"/>
        </w:rPr>
        <w:t>.  As you are aware, the Ohio Department of Administrative Services (DAS) provides a cooperative purchasing program, which is how most Township purchase vehicles or other machinery</w:t>
      </w:r>
      <w:r>
        <w:rPr>
          <w:sz w:val="26"/>
          <w:szCs w:val="26"/>
        </w:rPr>
        <w:t xml:space="preserve">. </w:t>
      </w:r>
      <w:r w:rsidR="00817A9A">
        <w:rPr>
          <w:sz w:val="26"/>
          <w:szCs w:val="26"/>
        </w:rPr>
        <w:t xml:space="preserve">As explained below, R.C. 9.48, which exempts Townships from engaging in competitive bidding when items are purchased from the DAS program will not be applicable, and therefore Townships will need to obtain quotes for vehicles or machinery that cost more than $50,000, but less than $250,000.  For any purchase over $250,000, competitive bidding is required, regardless of whether it is available under the DAS program. </w:t>
      </w:r>
    </w:p>
    <w:p w14:paraId="3B37E52F" w14:textId="3CAB2A90" w:rsidR="007B533D" w:rsidRDefault="007B533D" w:rsidP="001521EF">
      <w:pPr>
        <w:jc w:val="both"/>
        <w:rPr>
          <w:sz w:val="26"/>
          <w:szCs w:val="26"/>
        </w:rPr>
      </w:pPr>
    </w:p>
    <w:p w14:paraId="0D8CAB82" w14:textId="6B378DD6" w:rsidR="00E24260" w:rsidRPr="00E24260" w:rsidRDefault="00E24260" w:rsidP="001521EF">
      <w:pPr>
        <w:jc w:val="both"/>
        <w:rPr>
          <w:b/>
          <w:bCs/>
          <w:sz w:val="26"/>
          <w:szCs w:val="26"/>
        </w:rPr>
      </w:pPr>
      <w:r w:rsidRPr="00E24260">
        <w:rPr>
          <w:b/>
          <w:bCs/>
          <w:sz w:val="26"/>
          <w:szCs w:val="26"/>
        </w:rPr>
        <w:t xml:space="preserve">Micro-purchase </w:t>
      </w:r>
    </w:p>
    <w:p w14:paraId="52630146" w14:textId="4D493690" w:rsidR="00E24260" w:rsidRDefault="00E24260" w:rsidP="001521EF">
      <w:pPr>
        <w:jc w:val="both"/>
        <w:rPr>
          <w:sz w:val="26"/>
          <w:szCs w:val="26"/>
        </w:rPr>
      </w:pPr>
    </w:p>
    <w:p w14:paraId="4E8F70DE" w14:textId="2F63734D" w:rsidR="008C0C6C" w:rsidRPr="00DB7EDB" w:rsidRDefault="00E24260" w:rsidP="008C0C6C">
      <w:pPr>
        <w:jc w:val="both"/>
        <w:rPr>
          <w:sz w:val="26"/>
          <w:szCs w:val="26"/>
        </w:rPr>
      </w:pPr>
      <w:r>
        <w:rPr>
          <w:sz w:val="26"/>
          <w:szCs w:val="26"/>
        </w:rPr>
        <w:t xml:space="preserve">Under the UG, a micro-purchase is a purchase below a </w:t>
      </w:r>
      <w:r w:rsidR="00210CBB">
        <w:rPr>
          <w:sz w:val="26"/>
          <w:szCs w:val="26"/>
        </w:rPr>
        <w:t>federally determined</w:t>
      </w:r>
      <w:r>
        <w:rPr>
          <w:sz w:val="26"/>
          <w:szCs w:val="26"/>
        </w:rPr>
        <w:t xml:space="preserve"> threshold for which bidding, or obtaining quotes, is not required.  The previous micro-purchase threshold was $3,500.  In 2020, it was raised to $10,000.  </w:t>
      </w:r>
      <w:r w:rsidR="001D04FB">
        <w:rPr>
          <w:sz w:val="26"/>
          <w:szCs w:val="26"/>
        </w:rPr>
        <w:t>In</w:t>
      </w:r>
      <w:r>
        <w:rPr>
          <w:sz w:val="26"/>
          <w:szCs w:val="26"/>
        </w:rPr>
        <w:t xml:space="preserve"> 2020, OMB also added a provision to </w:t>
      </w:r>
      <w:r w:rsidR="008C0C6C" w:rsidRPr="00DB7EDB">
        <w:rPr>
          <w:sz w:val="26"/>
          <w:szCs w:val="26"/>
        </w:rPr>
        <w:t xml:space="preserve">200.320(a)(1)(iv)(C) </w:t>
      </w:r>
      <w:r w:rsidR="008C0C6C">
        <w:rPr>
          <w:sz w:val="26"/>
          <w:szCs w:val="26"/>
        </w:rPr>
        <w:t xml:space="preserve">which allows </w:t>
      </w:r>
      <w:r w:rsidR="008C0C6C" w:rsidRPr="00DB7EDB">
        <w:rPr>
          <w:sz w:val="26"/>
          <w:szCs w:val="26"/>
        </w:rPr>
        <w:t xml:space="preserve">a non-Federal entity may self-certify a </w:t>
      </w:r>
      <w:r w:rsidR="008C0C6C">
        <w:rPr>
          <w:sz w:val="26"/>
          <w:szCs w:val="26"/>
        </w:rPr>
        <w:t xml:space="preserve">micro-purchase </w:t>
      </w:r>
      <w:r w:rsidR="008C0C6C" w:rsidRPr="00DB7EDB">
        <w:rPr>
          <w:sz w:val="26"/>
          <w:szCs w:val="26"/>
        </w:rPr>
        <w:t>threshold of up to $50,000 on an annual basis if</w:t>
      </w:r>
      <w:r w:rsidR="008C0C6C">
        <w:rPr>
          <w:sz w:val="26"/>
          <w:szCs w:val="26"/>
        </w:rPr>
        <w:t>:</w:t>
      </w:r>
      <w:r w:rsidR="008C0C6C" w:rsidRPr="00DB7EDB">
        <w:rPr>
          <w:sz w:val="26"/>
          <w:szCs w:val="26"/>
        </w:rPr>
        <w:t xml:space="preserve"> (1) it maintains documentation to be made available to a </w:t>
      </w:r>
      <w:r w:rsidR="00210CBB" w:rsidRPr="00DB7EDB">
        <w:rPr>
          <w:sz w:val="26"/>
          <w:szCs w:val="26"/>
        </w:rPr>
        <w:t>federal</w:t>
      </w:r>
      <w:r w:rsidR="008C0C6C" w:rsidRPr="00DB7EDB">
        <w:rPr>
          <w:sz w:val="26"/>
          <w:szCs w:val="26"/>
        </w:rPr>
        <w:t xml:space="preserve"> awarding agency or pass-through entity and auditors in accordance with 2 C.F.R. 200.334, and (2) within the self-certification it:</w:t>
      </w:r>
    </w:p>
    <w:p w14:paraId="6FE9DAEC" w14:textId="77777777" w:rsidR="008C0C6C" w:rsidRPr="00DB7EDB" w:rsidRDefault="008C0C6C" w:rsidP="008C0C6C">
      <w:pPr>
        <w:jc w:val="both"/>
        <w:rPr>
          <w:sz w:val="26"/>
          <w:szCs w:val="26"/>
        </w:rPr>
      </w:pPr>
    </w:p>
    <w:p w14:paraId="79808D9C" w14:textId="77777777" w:rsidR="008C0C6C" w:rsidRPr="00DB7EDB" w:rsidRDefault="008C0C6C" w:rsidP="008C0C6C">
      <w:pPr>
        <w:ind w:left="720"/>
        <w:jc w:val="both"/>
        <w:rPr>
          <w:sz w:val="26"/>
          <w:szCs w:val="26"/>
        </w:rPr>
      </w:pPr>
      <w:r w:rsidRPr="00DB7EDB">
        <w:rPr>
          <w:sz w:val="26"/>
          <w:szCs w:val="26"/>
        </w:rPr>
        <w:t xml:space="preserve">(1) includes a justification for the </w:t>
      </w:r>
      <w:proofErr w:type="gramStart"/>
      <w:r w:rsidRPr="00DB7EDB">
        <w:rPr>
          <w:sz w:val="26"/>
          <w:szCs w:val="26"/>
        </w:rPr>
        <w:t>threshold;</w:t>
      </w:r>
      <w:proofErr w:type="gramEnd"/>
      <w:r w:rsidRPr="00DB7EDB">
        <w:rPr>
          <w:sz w:val="26"/>
          <w:szCs w:val="26"/>
        </w:rPr>
        <w:t xml:space="preserve"> </w:t>
      </w:r>
    </w:p>
    <w:p w14:paraId="53C59FDE" w14:textId="77777777" w:rsidR="008C0C6C" w:rsidRPr="00DB7EDB" w:rsidRDefault="008C0C6C" w:rsidP="008C0C6C">
      <w:pPr>
        <w:ind w:left="720"/>
        <w:jc w:val="both"/>
        <w:rPr>
          <w:sz w:val="26"/>
          <w:szCs w:val="26"/>
        </w:rPr>
      </w:pPr>
      <w:r w:rsidRPr="00DB7EDB">
        <w:rPr>
          <w:sz w:val="26"/>
          <w:szCs w:val="26"/>
        </w:rPr>
        <w:t xml:space="preserve">(2) clearly identifies the threshold; and </w:t>
      </w:r>
    </w:p>
    <w:p w14:paraId="5F92EDC6" w14:textId="77777777" w:rsidR="008C0C6C" w:rsidRPr="00DB7EDB" w:rsidRDefault="008C0C6C" w:rsidP="008C0C6C">
      <w:pPr>
        <w:ind w:left="720"/>
        <w:jc w:val="both"/>
        <w:rPr>
          <w:sz w:val="26"/>
          <w:szCs w:val="26"/>
        </w:rPr>
      </w:pPr>
      <w:r w:rsidRPr="00DB7EDB">
        <w:rPr>
          <w:sz w:val="26"/>
          <w:szCs w:val="26"/>
        </w:rPr>
        <w:t>(3) includes supporting documentation of any of the following:</w:t>
      </w:r>
    </w:p>
    <w:p w14:paraId="22B8B4E0" w14:textId="77777777" w:rsidR="008C0C6C" w:rsidRPr="00DB7EDB" w:rsidRDefault="008C0C6C" w:rsidP="008C0C6C">
      <w:pPr>
        <w:ind w:left="1500"/>
        <w:jc w:val="both"/>
        <w:rPr>
          <w:sz w:val="26"/>
          <w:szCs w:val="26"/>
        </w:rPr>
      </w:pPr>
      <w:r w:rsidRPr="00DB7EDB">
        <w:rPr>
          <w:sz w:val="26"/>
          <w:szCs w:val="26"/>
        </w:rPr>
        <w:t xml:space="preserve">(A) a qualification as a low-risk auditee, in accordance with the criteria in § 200.520 for the most recent </w:t>
      </w:r>
      <w:proofErr w:type="gramStart"/>
      <w:r w:rsidRPr="00DB7EDB">
        <w:rPr>
          <w:sz w:val="26"/>
          <w:szCs w:val="26"/>
        </w:rPr>
        <w:t>audit;</w:t>
      </w:r>
      <w:proofErr w:type="gramEnd"/>
      <w:r w:rsidRPr="00DB7EDB">
        <w:rPr>
          <w:sz w:val="26"/>
          <w:szCs w:val="26"/>
        </w:rPr>
        <w:t xml:space="preserve"> </w:t>
      </w:r>
    </w:p>
    <w:p w14:paraId="22FFB717" w14:textId="77777777" w:rsidR="008C0C6C" w:rsidRPr="00DB7EDB" w:rsidRDefault="008C0C6C" w:rsidP="008C0C6C">
      <w:pPr>
        <w:ind w:left="1500"/>
        <w:jc w:val="both"/>
        <w:rPr>
          <w:sz w:val="26"/>
          <w:szCs w:val="26"/>
        </w:rPr>
      </w:pPr>
      <w:r w:rsidRPr="00DB7EDB">
        <w:rPr>
          <w:sz w:val="26"/>
          <w:szCs w:val="26"/>
        </w:rPr>
        <w:t>(B) an annual internal institutional risk assessment to identify, mitigate, and manage financial risks; or</w:t>
      </w:r>
    </w:p>
    <w:p w14:paraId="471FAC4C" w14:textId="77777777" w:rsidR="008C0C6C" w:rsidRDefault="008C0C6C" w:rsidP="008C0C6C">
      <w:pPr>
        <w:ind w:left="1500"/>
        <w:jc w:val="both"/>
        <w:rPr>
          <w:sz w:val="26"/>
          <w:szCs w:val="26"/>
        </w:rPr>
      </w:pPr>
      <w:r w:rsidRPr="00DB7EDB">
        <w:rPr>
          <w:sz w:val="26"/>
          <w:szCs w:val="26"/>
        </w:rPr>
        <w:t>(C) for public institutions, a higher threshold consistent with State law</w:t>
      </w:r>
      <w:r>
        <w:rPr>
          <w:sz w:val="26"/>
          <w:szCs w:val="26"/>
        </w:rPr>
        <w:t>.</w:t>
      </w:r>
    </w:p>
    <w:p w14:paraId="2521A944" w14:textId="77777777" w:rsidR="008C0C6C" w:rsidRDefault="008C0C6C" w:rsidP="008C0C6C">
      <w:pPr>
        <w:jc w:val="both"/>
        <w:rPr>
          <w:sz w:val="26"/>
          <w:szCs w:val="26"/>
        </w:rPr>
      </w:pPr>
    </w:p>
    <w:p w14:paraId="64D3EB63" w14:textId="3CEE3A5A" w:rsidR="008C0C6C" w:rsidRDefault="008C0C6C" w:rsidP="001521EF">
      <w:pPr>
        <w:jc w:val="both"/>
        <w:rPr>
          <w:sz w:val="26"/>
          <w:szCs w:val="26"/>
        </w:rPr>
      </w:pPr>
      <w:r>
        <w:rPr>
          <w:sz w:val="26"/>
          <w:szCs w:val="26"/>
        </w:rPr>
        <w:lastRenderedPageBreak/>
        <w:t xml:space="preserve">Under Ohio law, most Township procurements do not require bidding unless the cost exceeds $50,000. A notable exception is contracts for road repairs and maintenance, which has a $45,000 threshold.  We have advised our clients that it is in their interest to self-certify the micro-purchase threshold to $50,000, and have prepared a resolution for that purpose, attached. </w:t>
      </w:r>
    </w:p>
    <w:p w14:paraId="25CFF511" w14:textId="77777777" w:rsidR="00E24260" w:rsidRDefault="00E24260" w:rsidP="001521EF">
      <w:pPr>
        <w:jc w:val="both"/>
        <w:rPr>
          <w:sz w:val="26"/>
          <w:szCs w:val="26"/>
        </w:rPr>
      </w:pPr>
    </w:p>
    <w:p w14:paraId="07820389" w14:textId="4469115F" w:rsidR="00001296" w:rsidRDefault="00345E45" w:rsidP="001521EF">
      <w:pPr>
        <w:jc w:val="both"/>
        <w:rPr>
          <w:sz w:val="26"/>
          <w:szCs w:val="26"/>
        </w:rPr>
      </w:pPr>
      <w:r>
        <w:rPr>
          <w:sz w:val="26"/>
          <w:szCs w:val="26"/>
        </w:rPr>
        <w:t xml:space="preserve">Importantly, the resolution that we </w:t>
      </w:r>
      <w:r w:rsidR="001D04FB">
        <w:rPr>
          <w:sz w:val="26"/>
          <w:szCs w:val="26"/>
        </w:rPr>
        <w:t>prepared</w:t>
      </w:r>
      <w:r>
        <w:rPr>
          <w:sz w:val="26"/>
          <w:szCs w:val="26"/>
        </w:rPr>
        <w:t xml:space="preserve"> specifically addresses all Ohio statutes which address Township bidding.  Several of our clients have asked if they can add other categories to increase the micro-purchase threshold.  Our response </w:t>
      </w:r>
      <w:r w:rsidR="001D04FB">
        <w:rPr>
          <w:sz w:val="26"/>
          <w:szCs w:val="26"/>
        </w:rPr>
        <w:t>has been</w:t>
      </w:r>
      <w:r>
        <w:rPr>
          <w:sz w:val="26"/>
          <w:szCs w:val="26"/>
        </w:rPr>
        <w:t xml:space="preserve"> no, as the resolution provides the only applicable statutes, and thus contain the only instances in which the threshold can be raised to be consistent with Ohio law. </w:t>
      </w:r>
    </w:p>
    <w:p w14:paraId="1B6958D0" w14:textId="3380E0A1" w:rsidR="00345E45" w:rsidRDefault="00345E45" w:rsidP="001521EF">
      <w:pPr>
        <w:jc w:val="both"/>
        <w:rPr>
          <w:sz w:val="26"/>
          <w:szCs w:val="26"/>
        </w:rPr>
      </w:pPr>
    </w:p>
    <w:p w14:paraId="12B135FE" w14:textId="0252AEBC" w:rsidR="00001296" w:rsidRPr="00345E45" w:rsidRDefault="00345E45" w:rsidP="00001296">
      <w:pPr>
        <w:jc w:val="both"/>
        <w:rPr>
          <w:b/>
          <w:bCs/>
          <w:sz w:val="26"/>
          <w:szCs w:val="26"/>
        </w:rPr>
      </w:pPr>
      <w:r>
        <w:rPr>
          <w:b/>
          <w:bCs/>
          <w:sz w:val="26"/>
          <w:szCs w:val="26"/>
        </w:rPr>
        <w:t xml:space="preserve">Small Purchases </w:t>
      </w:r>
    </w:p>
    <w:p w14:paraId="337113AA" w14:textId="77777777" w:rsidR="00001296" w:rsidRDefault="00001296" w:rsidP="00001296">
      <w:pPr>
        <w:jc w:val="both"/>
        <w:rPr>
          <w:sz w:val="26"/>
          <w:szCs w:val="26"/>
        </w:rPr>
      </w:pPr>
    </w:p>
    <w:p w14:paraId="140C28B1" w14:textId="01E48DF0" w:rsidR="00001296" w:rsidRDefault="00001296" w:rsidP="00001296">
      <w:pPr>
        <w:jc w:val="both"/>
        <w:rPr>
          <w:sz w:val="26"/>
          <w:szCs w:val="26"/>
        </w:rPr>
      </w:pPr>
      <w:r>
        <w:rPr>
          <w:sz w:val="26"/>
          <w:szCs w:val="26"/>
        </w:rPr>
        <w:t xml:space="preserve">The next level of procurement under the UG are “small purchases”, which are purchases which exceed the micro-purchase threshold ($10,000) but are below the simple-acquisition threshold ($250,000).  For small purchases, the Township is required to solicit an adequate number of bids (no less than 2) for every purchase and must award to the lowest bidder, consistent with 2 C.F.R. 200.320(a)(2).  Therefore, without self-certification, the Township will be required to obtain no less than two bids for any purchase exceeding $10,000.00. </w:t>
      </w:r>
    </w:p>
    <w:p w14:paraId="3825DC52" w14:textId="1F820F1C" w:rsidR="00C960F7" w:rsidRDefault="00C960F7" w:rsidP="00001296">
      <w:pPr>
        <w:jc w:val="both"/>
        <w:rPr>
          <w:sz w:val="26"/>
          <w:szCs w:val="26"/>
        </w:rPr>
      </w:pPr>
    </w:p>
    <w:p w14:paraId="2BCCAE07" w14:textId="66275537" w:rsidR="008C0C6C" w:rsidRDefault="00C960F7" w:rsidP="00001296">
      <w:pPr>
        <w:jc w:val="both"/>
        <w:rPr>
          <w:sz w:val="26"/>
          <w:szCs w:val="26"/>
        </w:rPr>
      </w:pPr>
      <w:r>
        <w:rPr>
          <w:sz w:val="26"/>
          <w:szCs w:val="26"/>
        </w:rPr>
        <w:t>It is at this level that cooperative purchasing becomes relevant.</w:t>
      </w:r>
      <w:r w:rsidR="001D04FB">
        <w:rPr>
          <w:sz w:val="26"/>
          <w:szCs w:val="26"/>
        </w:rPr>
        <w:t xml:space="preserve"> Again, as you know,</w:t>
      </w:r>
      <w:r>
        <w:rPr>
          <w:sz w:val="26"/>
          <w:szCs w:val="26"/>
        </w:rPr>
        <w:t xml:space="preserve"> Townships are not required to publicly bid purchases of machinery or other items if they are a member of a cooperative purchasing agency</w:t>
      </w:r>
      <w:r w:rsidR="008C0C6C">
        <w:rPr>
          <w:sz w:val="26"/>
          <w:szCs w:val="26"/>
        </w:rPr>
        <w:t>, in which case the entity can simply purchase from that program</w:t>
      </w:r>
      <w:r w:rsidR="001D04FB">
        <w:rPr>
          <w:sz w:val="26"/>
          <w:szCs w:val="26"/>
        </w:rPr>
        <w:t xml:space="preserve"> regardless of the value.</w:t>
      </w:r>
      <w:r w:rsidR="008C0C6C">
        <w:rPr>
          <w:sz w:val="26"/>
          <w:szCs w:val="26"/>
        </w:rPr>
        <w:t xml:space="preserve"> Here, Townships would still need to obtain a quote from at least one other source </w:t>
      </w:r>
      <w:proofErr w:type="gramStart"/>
      <w:r w:rsidR="008C0C6C">
        <w:rPr>
          <w:sz w:val="26"/>
          <w:szCs w:val="26"/>
        </w:rPr>
        <w:t>in order to</w:t>
      </w:r>
      <w:proofErr w:type="gramEnd"/>
      <w:r w:rsidR="008C0C6C">
        <w:rPr>
          <w:sz w:val="26"/>
          <w:szCs w:val="26"/>
        </w:rPr>
        <w:t xml:space="preserve"> comply with the UG.  This is not, however, applicable if the Township enters into an agreement with another government entity for the purchase, or otherwise “piggybacks” off the negotiated price from another government entity. </w:t>
      </w:r>
    </w:p>
    <w:p w14:paraId="4C86FD8A" w14:textId="71B97491" w:rsidR="008C0C6C" w:rsidRDefault="008C0C6C" w:rsidP="00001296">
      <w:pPr>
        <w:jc w:val="both"/>
        <w:rPr>
          <w:sz w:val="26"/>
          <w:szCs w:val="26"/>
        </w:rPr>
      </w:pPr>
    </w:p>
    <w:p w14:paraId="72B9CBEB" w14:textId="4E8CF65E" w:rsidR="008C0C6C" w:rsidRPr="008C0C6C" w:rsidRDefault="008C0C6C" w:rsidP="00001296">
      <w:pPr>
        <w:jc w:val="both"/>
        <w:rPr>
          <w:b/>
          <w:bCs/>
          <w:sz w:val="26"/>
          <w:szCs w:val="26"/>
        </w:rPr>
      </w:pPr>
      <w:r w:rsidRPr="008C0C6C">
        <w:rPr>
          <w:b/>
          <w:bCs/>
          <w:sz w:val="26"/>
          <w:szCs w:val="26"/>
        </w:rPr>
        <w:t xml:space="preserve">Large Purchases </w:t>
      </w:r>
    </w:p>
    <w:p w14:paraId="3181D02A" w14:textId="77777777" w:rsidR="00001296" w:rsidRDefault="00001296" w:rsidP="00001296">
      <w:pPr>
        <w:jc w:val="both"/>
        <w:rPr>
          <w:sz w:val="26"/>
          <w:szCs w:val="26"/>
        </w:rPr>
      </w:pPr>
    </w:p>
    <w:p w14:paraId="3ADBD502" w14:textId="0B2DA0CA" w:rsidR="008C0C6C" w:rsidRDefault="00001296" w:rsidP="00001296">
      <w:pPr>
        <w:jc w:val="both"/>
        <w:rPr>
          <w:sz w:val="26"/>
          <w:szCs w:val="26"/>
        </w:rPr>
      </w:pPr>
      <w:r>
        <w:rPr>
          <w:sz w:val="26"/>
          <w:szCs w:val="26"/>
        </w:rPr>
        <w:t>The third tier of procurement are large purchases, which</w:t>
      </w:r>
      <w:r w:rsidR="001D04FB">
        <w:rPr>
          <w:sz w:val="26"/>
          <w:szCs w:val="26"/>
        </w:rPr>
        <w:t xml:space="preserve"> is any purchase that</w:t>
      </w:r>
      <w:r>
        <w:rPr>
          <w:sz w:val="26"/>
          <w:szCs w:val="26"/>
        </w:rPr>
        <w:t xml:space="preserve"> exceed</w:t>
      </w:r>
      <w:r w:rsidR="001D04FB">
        <w:rPr>
          <w:sz w:val="26"/>
          <w:szCs w:val="26"/>
        </w:rPr>
        <w:t>s</w:t>
      </w:r>
      <w:r>
        <w:rPr>
          <w:sz w:val="26"/>
          <w:szCs w:val="26"/>
        </w:rPr>
        <w:t xml:space="preserve"> $250,000. Those purchases require sealed bidding or competitive bidding depending on the nature of the purchase.  </w:t>
      </w:r>
      <w:r w:rsidR="008C0C6C">
        <w:rPr>
          <w:sz w:val="26"/>
          <w:szCs w:val="26"/>
        </w:rPr>
        <w:t xml:space="preserve">Sealed bidding requires advertising of the specific project, as well the date and time that the bids will be opened.  Competitive bidding requires a similar process, although the procedures are slightly different.  Both require a cost or price analysis, which is a little complicated and confusing, but necessary for any large procurements. Finally, for purchases over the $250,000 threshold, the Townships cannot rely on cooperative purchasing, unless it is an inter-government purchase. </w:t>
      </w:r>
    </w:p>
    <w:p w14:paraId="0A6FFFC8" w14:textId="0DFD0603" w:rsidR="008C0C6C" w:rsidRDefault="008C0C6C" w:rsidP="00001296">
      <w:pPr>
        <w:jc w:val="both"/>
        <w:rPr>
          <w:sz w:val="26"/>
          <w:szCs w:val="26"/>
        </w:rPr>
      </w:pPr>
    </w:p>
    <w:p w14:paraId="3EDC4B33" w14:textId="77777777" w:rsidR="001D04FB" w:rsidRDefault="001D04FB" w:rsidP="00001296">
      <w:pPr>
        <w:jc w:val="both"/>
        <w:rPr>
          <w:sz w:val="26"/>
          <w:szCs w:val="26"/>
        </w:rPr>
      </w:pPr>
    </w:p>
    <w:p w14:paraId="747CF84B" w14:textId="0AB6866C" w:rsidR="008C0C6C" w:rsidRPr="008C0C6C" w:rsidRDefault="008C0C6C" w:rsidP="00001296">
      <w:pPr>
        <w:jc w:val="both"/>
        <w:rPr>
          <w:b/>
          <w:bCs/>
          <w:sz w:val="26"/>
          <w:szCs w:val="26"/>
        </w:rPr>
      </w:pPr>
      <w:r w:rsidRPr="008C0C6C">
        <w:rPr>
          <w:b/>
          <w:bCs/>
          <w:sz w:val="26"/>
          <w:szCs w:val="26"/>
        </w:rPr>
        <w:lastRenderedPageBreak/>
        <w:t xml:space="preserve">Additional Requirements </w:t>
      </w:r>
    </w:p>
    <w:p w14:paraId="05BEAC47" w14:textId="7EE3C27B" w:rsidR="00001296" w:rsidRDefault="00001296" w:rsidP="00001296">
      <w:pPr>
        <w:jc w:val="both"/>
        <w:rPr>
          <w:sz w:val="26"/>
          <w:szCs w:val="26"/>
        </w:rPr>
      </w:pPr>
    </w:p>
    <w:p w14:paraId="02A8ECB6" w14:textId="51ED56A4" w:rsidR="00001296" w:rsidRDefault="008C0C6C" w:rsidP="00001296">
      <w:pPr>
        <w:jc w:val="both"/>
        <w:rPr>
          <w:sz w:val="26"/>
          <w:szCs w:val="26"/>
        </w:rPr>
      </w:pPr>
      <w:r>
        <w:rPr>
          <w:sz w:val="26"/>
          <w:szCs w:val="26"/>
        </w:rPr>
        <w:t>The UG requires all contracts relating to expenditures of federal funds to</w:t>
      </w:r>
      <w:r w:rsidR="00001296">
        <w:rPr>
          <w:sz w:val="26"/>
          <w:szCs w:val="26"/>
        </w:rPr>
        <w:t xml:space="preserve"> include a series of provisions, such as a clause guaranteeing that the contractor abides by the Equal Employment Opportunity Act and the Contract Work Hours and Safety Standards Act, as set forth in the attached policy.</w:t>
      </w:r>
      <w:r w:rsidR="00CC2B27">
        <w:rPr>
          <w:sz w:val="26"/>
          <w:szCs w:val="26"/>
        </w:rPr>
        <w:t xml:space="preserve"> To assist in compliance with these requirements, we prepared </w:t>
      </w:r>
      <w:r w:rsidR="000C5C69">
        <w:rPr>
          <w:sz w:val="26"/>
          <w:szCs w:val="26"/>
        </w:rPr>
        <w:t xml:space="preserve">a contract addendum which should be added to all contracts </w:t>
      </w:r>
      <w:proofErr w:type="gramStart"/>
      <w:r w:rsidR="000C5C69">
        <w:rPr>
          <w:sz w:val="26"/>
          <w:szCs w:val="26"/>
        </w:rPr>
        <w:t>entered into</w:t>
      </w:r>
      <w:proofErr w:type="gramEnd"/>
      <w:r w:rsidR="000C5C69">
        <w:rPr>
          <w:sz w:val="26"/>
          <w:szCs w:val="26"/>
        </w:rPr>
        <w:t xml:space="preserve"> by the Township, attached. </w:t>
      </w:r>
    </w:p>
    <w:p w14:paraId="5A6CA0EE" w14:textId="65764EE2" w:rsidR="001521EF" w:rsidRDefault="001521EF" w:rsidP="001521EF">
      <w:pPr>
        <w:jc w:val="both"/>
        <w:rPr>
          <w:sz w:val="26"/>
          <w:szCs w:val="26"/>
        </w:rPr>
      </w:pPr>
    </w:p>
    <w:p w14:paraId="06BD2D1D" w14:textId="707E0A65" w:rsidR="008E4DA5" w:rsidRDefault="008E4DA5" w:rsidP="001521EF">
      <w:pPr>
        <w:jc w:val="both"/>
        <w:rPr>
          <w:sz w:val="26"/>
          <w:szCs w:val="26"/>
        </w:rPr>
      </w:pPr>
      <w:r>
        <w:rPr>
          <w:sz w:val="26"/>
          <w:szCs w:val="26"/>
        </w:rPr>
        <w:t>Finally, an entity in North Carolina prepared a</w:t>
      </w:r>
      <w:r w:rsidR="001D04FB">
        <w:rPr>
          <w:sz w:val="26"/>
          <w:szCs w:val="26"/>
        </w:rPr>
        <w:t>n</w:t>
      </w:r>
      <w:r>
        <w:rPr>
          <w:sz w:val="26"/>
          <w:szCs w:val="26"/>
        </w:rPr>
        <w:t xml:space="preserve"> ARPA request form to assist entities in evaluating how to classify and report ARPA expenditures.  A few of the columns were off, or otherwise not consistent with our reading of the Final Rule, so we modified the form and have made it available to some larger entities that are dealing with larger requests.  The form assists in determining how to categorize the expenditure and will be most beneficial for reporting purposes, attached. </w:t>
      </w:r>
    </w:p>
    <w:p w14:paraId="3091FFA2" w14:textId="6C08BF58" w:rsidR="00CD245E" w:rsidRDefault="00CD245E" w:rsidP="001521EF">
      <w:pPr>
        <w:jc w:val="both"/>
        <w:rPr>
          <w:sz w:val="26"/>
          <w:szCs w:val="26"/>
        </w:rPr>
      </w:pPr>
    </w:p>
    <w:p w14:paraId="26A1767A" w14:textId="024BD158" w:rsidR="00CD245E" w:rsidRDefault="00CD245E" w:rsidP="001521EF">
      <w:pPr>
        <w:jc w:val="both"/>
        <w:rPr>
          <w:sz w:val="26"/>
          <w:szCs w:val="26"/>
        </w:rPr>
      </w:pPr>
      <w:r>
        <w:rPr>
          <w:sz w:val="26"/>
          <w:szCs w:val="26"/>
        </w:rPr>
        <w:t xml:space="preserve">As always, if you have any questions or concerns on this topic, please feel free to contact me or Greg Beck at any time. </w:t>
      </w:r>
    </w:p>
    <w:p w14:paraId="14BBB59E" w14:textId="77777777" w:rsidR="001521EF" w:rsidRDefault="001521EF" w:rsidP="001521EF">
      <w:pPr>
        <w:jc w:val="both"/>
        <w:rPr>
          <w:sz w:val="26"/>
          <w:szCs w:val="26"/>
        </w:rPr>
      </w:pPr>
    </w:p>
    <w:p w14:paraId="1E66B897" w14:textId="77777777" w:rsidR="00AF7EC1" w:rsidRPr="002D43E5" w:rsidRDefault="00AF7EC1" w:rsidP="00E56658">
      <w:pPr>
        <w:tabs>
          <w:tab w:val="left" w:pos="0"/>
          <w:tab w:val="left" w:pos="559"/>
          <w:tab w:val="left" w:pos="1119"/>
          <w:tab w:val="left" w:pos="1680"/>
          <w:tab w:val="left" w:pos="2239"/>
          <w:tab w:val="left" w:pos="2799"/>
          <w:tab w:val="left" w:pos="3360"/>
          <w:tab w:val="left" w:pos="3919"/>
          <w:tab w:val="left" w:pos="4479"/>
          <w:tab w:val="left" w:pos="5040"/>
          <w:tab w:val="left" w:pos="5599"/>
          <w:tab w:val="left" w:pos="6159"/>
          <w:tab w:val="left" w:pos="6720"/>
          <w:tab w:val="left" w:pos="7200"/>
          <w:tab w:val="left" w:pos="7920"/>
        </w:tabs>
        <w:rPr>
          <w:sz w:val="26"/>
          <w:szCs w:val="26"/>
        </w:rPr>
      </w:pPr>
    </w:p>
    <w:p w14:paraId="47C41C52" w14:textId="77777777" w:rsidR="00E11651" w:rsidRPr="002D43E5" w:rsidRDefault="00E11651" w:rsidP="00E11651">
      <w:pPr>
        <w:ind w:right="14"/>
        <w:jc w:val="both"/>
        <w:rPr>
          <w:sz w:val="26"/>
          <w:szCs w:val="26"/>
        </w:rPr>
      </w:pPr>
      <w:r w:rsidRPr="002D43E5">
        <w:rPr>
          <w:sz w:val="26"/>
          <w:szCs w:val="26"/>
        </w:rPr>
        <w:tab/>
      </w:r>
      <w:r w:rsidRPr="002D43E5">
        <w:rPr>
          <w:sz w:val="26"/>
          <w:szCs w:val="26"/>
        </w:rPr>
        <w:tab/>
      </w:r>
      <w:r w:rsidRPr="002D43E5">
        <w:rPr>
          <w:sz w:val="26"/>
          <w:szCs w:val="26"/>
        </w:rPr>
        <w:tab/>
      </w:r>
      <w:r w:rsidRPr="002D43E5">
        <w:rPr>
          <w:sz w:val="26"/>
          <w:szCs w:val="26"/>
        </w:rPr>
        <w:tab/>
      </w:r>
      <w:r w:rsidRPr="002D43E5">
        <w:rPr>
          <w:sz w:val="26"/>
          <w:szCs w:val="26"/>
        </w:rPr>
        <w:tab/>
      </w:r>
      <w:r w:rsidRPr="002D43E5">
        <w:rPr>
          <w:sz w:val="26"/>
          <w:szCs w:val="26"/>
        </w:rPr>
        <w:tab/>
        <w:t xml:space="preserve">Very truly yours, </w:t>
      </w:r>
    </w:p>
    <w:p w14:paraId="497F48CF" w14:textId="77777777" w:rsidR="00163CD0" w:rsidRPr="002D43E5" w:rsidRDefault="00163CD0" w:rsidP="00163CD0">
      <w:pPr>
        <w:ind w:right="14"/>
        <w:rPr>
          <w:sz w:val="26"/>
          <w:szCs w:val="26"/>
        </w:rPr>
      </w:pPr>
    </w:p>
    <w:p w14:paraId="331910EE" w14:textId="208D4C12" w:rsidR="00163CD0" w:rsidRPr="002D43E5" w:rsidRDefault="00043C6D" w:rsidP="00163CD0">
      <w:pPr>
        <w:ind w:right="14"/>
        <w:rPr>
          <w:i/>
          <w:sz w:val="26"/>
          <w:szCs w:val="26"/>
        </w:rPr>
      </w:pPr>
      <w:r w:rsidRPr="002D43E5">
        <w:rPr>
          <w:sz w:val="26"/>
          <w:szCs w:val="26"/>
        </w:rPr>
        <w:tab/>
      </w:r>
      <w:r w:rsidRPr="002D43E5">
        <w:rPr>
          <w:sz w:val="26"/>
          <w:szCs w:val="26"/>
        </w:rPr>
        <w:tab/>
      </w:r>
      <w:r w:rsidRPr="002D43E5">
        <w:rPr>
          <w:sz w:val="26"/>
          <w:szCs w:val="26"/>
        </w:rPr>
        <w:tab/>
      </w:r>
      <w:r w:rsidRPr="002D43E5">
        <w:rPr>
          <w:sz w:val="26"/>
          <w:szCs w:val="26"/>
        </w:rPr>
        <w:tab/>
      </w:r>
      <w:r w:rsidRPr="002D43E5">
        <w:rPr>
          <w:sz w:val="26"/>
          <w:szCs w:val="26"/>
        </w:rPr>
        <w:tab/>
      </w:r>
      <w:r w:rsidRPr="002D43E5">
        <w:rPr>
          <w:sz w:val="26"/>
          <w:szCs w:val="26"/>
        </w:rPr>
        <w:tab/>
      </w:r>
      <w:r w:rsidRPr="002D43E5">
        <w:rPr>
          <w:i/>
          <w:sz w:val="26"/>
          <w:szCs w:val="26"/>
        </w:rPr>
        <w:t>s/</w:t>
      </w:r>
      <w:r w:rsidR="00042C2A" w:rsidRPr="002D43E5">
        <w:rPr>
          <w:i/>
          <w:sz w:val="26"/>
          <w:szCs w:val="26"/>
        </w:rPr>
        <w:t>Tonya J. Rogers</w:t>
      </w:r>
      <w:r w:rsidRPr="002D43E5">
        <w:rPr>
          <w:i/>
          <w:sz w:val="26"/>
          <w:szCs w:val="26"/>
        </w:rPr>
        <w:tab/>
      </w:r>
      <w:r w:rsidRPr="002D43E5">
        <w:rPr>
          <w:i/>
          <w:sz w:val="26"/>
          <w:szCs w:val="26"/>
        </w:rPr>
        <w:tab/>
      </w:r>
      <w:r w:rsidRPr="002D43E5">
        <w:rPr>
          <w:i/>
          <w:sz w:val="26"/>
          <w:szCs w:val="26"/>
        </w:rPr>
        <w:tab/>
      </w:r>
    </w:p>
    <w:p w14:paraId="63AB4B3B" w14:textId="77777777" w:rsidR="00043C6D" w:rsidRPr="002D43E5" w:rsidRDefault="00043C6D" w:rsidP="00163CD0">
      <w:pPr>
        <w:ind w:right="14"/>
        <w:rPr>
          <w:i/>
          <w:sz w:val="26"/>
          <w:szCs w:val="26"/>
        </w:rPr>
      </w:pPr>
    </w:p>
    <w:p w14:paraId="3D720F4B" w14:textId="76209443" w:rsidR="00163CD0" w:rsidRDefault="00163CD0" w:rsidP="00043C6D">
      <w:pPr>
        <w:ind w:right="14"/>
        <w:rPr>
          <w:sz w:val="26"/>
          <w:szCs w:val="26"/>
        </w:rPr>
      </w:pPr>
      <w:r w:rsidRPr="002D43E5">
        <w:rPr>
          <w:sz w:val="26"/>
          <w:szCs w:val="26"/>
        </w:rPr>
        <w:tab/>
      </w:r>
      <w:r w:rsidRPr="002D43E5">
        <w:rPr>
          <w:sz w:val="26"/>
          <w:szCs w:val="26"/>
        </w:rPr>
        <w:tab/>
      </w:r>
      <w:r w:rsidRPr="002D43E5">
        <w:rPr>
          <w:sz w:val="26"/>
          <w:szCs w:val="26"/>
        </w:rPr>
        <w:tab/>
      </w:r>
      <w:r w:rsidRPr="002D43E5">
        <w:rPr>
          <w:sz w:val="26"/>
          <w:szCs w:val="26"/>
        </w:rPr>
        <w:tab/>
      </w:r>
      <w:r w:rsidRPr="002D43E5">
        <w:rPr>
          <w:sz w:val="26"/>
          <w:szCs w:val="26"/>
        </w:rPr>
        <w:tab/>
      </w:r>
      <w:r w:rsidR="00E11651" w:rsidRPr="002D43E5">
        <w:rPr>
          <w:sz w:val="26"/>
          <w:szCs w:val="26"/>
        </w:rPr>
        <w:tab/>
      </w:r>
      <w:r w:rsidR="00042C2A" w:rsidRPr="002D43E5">
        <w:rPr>
          <w:sz w:val="26"/>
          <w:szCs w:val="26"/>
        </w:rPr>
        <w:t xml:space="preserve">Tonya J. Rogers </w:t>
      </w:r>
    </w:p>
    <w:p w14:paraId="5AE4BF68" w14:textId="31AAD9A9" w:rsidR="00ED7937" w:rsidRDefault="00ED7937" w:rsidP="00043C6D">
      <w:pPr>
        <w:ind w:right="14"/>
        <w:rPr>
          <w:sz w:val="26"/>
          <w:szCs w:val="26"/>
        </w:rPr>
      </w:pPr>
      <w:r>
        <w:rPr>
          <w:sz w:val="26"/>
          <w:szCs w:val="26"/>
        </w:rPr>
        <w:t xml:space="preserve">Enc. </w:t>
      </w:r>
    </w:p>
    <w:p w14:paraId="026D072F" w14:textId="1F7F000D" w:rsidR="00CD245E" w:rsidRDefault="00CD245E" w:rsidP="00CD245E">
      <w:pPr>
        <w:ind w:left="180" w:right="14"/>
        <w:rPr>
          <w:sz w:val="26"/>
          <w:szCs w:val="26"/>
        </w:rPr>
      </w:pPr>
      <w:r>
        <w:rPr>
          <w:sz w:val="26"/>
          <w:szCs w:val="26"/>
        </w:rPr>
        <w:t>-</w:t>
      </w:r>
      <w:r w:rsidR="00572897">
        <w:rPr>
          <w:sz w:val="26"/>
          <w:szCs w:val="26"/>
        </w:rPr>
        <w:t xml:space="preserve">Procurement Policy </w:t>
      </w:r>
    </w:p>
    <w:p w14:paraId="6631B4BC" w14:textId="7144CB50" w:rsidR="00572897" w:rsidRDefault="00572897" w:rsidP="00CD245E">
      <w:pPr>
        <w:ind w:left="180" w:right="14"/>
        <w:rPr>
          <w:sz w:val="26"/>
          <w:szCs w:val="26"/>
        </w:rPr>
      </w:pPr>
      <w:r>
        <w:rPr>
          <w:sz w:val="26"/>
          <w:szCs w:val="26"/>
        </w:rPr>
        <w:t xml:space="preserve">-Contract Addendum </w:t>
      </w:r>
    </w:p>
    <w:p w14:paraId="7738BB36" w14:textId="0327C236" w:rsidR="00572897" w:rsidRDefault="00572897" w:rsidP="00CD245E">
      <w:pPr>
        <w:ind w:left="180" w:right="14"/>
        <w:rPr>
          <w:sz w:val="26"/>
          <w:szCs w:val="26"/>
        </w:rPr>
      </w:pPr>
      <w:r>
        <w:rPr>
          <w:sz w:val="26"/>
          <w:szCs w:val="26"/>
        </w:rPr>
        <w:t>-Procurement Chart</w:t>
      </w:r>
    </w:p>
    <w:p w14:paraId="275243AC" w14:textId="21EBEB2C" w:rsidR="00572897" w:rsidRDefault="00572897" w:rsidP="00CD245E">
      <w:pPr>
        <w:ind w:left="180" w:right="14"/>
        <w:rPr>
          <w:sz w:val="26"/>
          <w:szCs w:val="26"/>
        </w:rPr>
      </w:pPr>
      <w:r>
        <w:rPr>
          <w:sz w:val="26"/>
          <w:szCs w:val="26"/>
        </w:rPr>
        <w:t>-Self-certification Resolution</w:t>
      </w:r>
    </w:p>
    <w:p w14:paraId="218FD667" w14:textId="59ECF314" w:rsidR="00572897" w:rsidRPr="002D43E5" w:rsidRDefault="00572897" w:rsidP="00CD245E">
      <w:pPr>
        <w:ind w:left="180" w:right="14"/>
        <w:rPr>
          <w:sz w:val="26"/>
          <w:szCs w:val="26"/>
        </w:rPr>
      </w:pPr>
      <w:r>
        <w:rPr>
          <w:sz w:val="26"/>
          <w:szCs w:val="26"/>
        </w:rPr>
        <w:t xml:space="preserve">-ARPA Request Form </w:t>
      </w:r>
    </w:p>
    <w:sectPr w:rsidR="00572897" w:rsidRPr="002D43E5" w:rsidSect="00730E8D">
      <w:type w:val="continuous"/>
      <w:pgSz w:w="12240" w:h="15840"/>
      <w:pgMar w:top="1440" w:right="1440" w:bottom="864" w:left="1440" w:header="720" w:footer="720" w:gutter="0"/>
      <w:cols w:space="8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2C97A" w14:textId="77777777" w:rsidR="00AA70E4" w:rsidRDefault="00AA70E4" w:rsidP="00734ED5">
      <w:r>
        <w:separator/>
      </w:r>
    </w:p>
  </w:endnote>
  <w:endnote w:type="continuationSeparator" w:id="0">
    <w:p w14:paraId="1162CC73" w14:textId="77777777" w:rsidR="00AA70E4" w:rsidRDefault="00AA70E4" w:rsidP="00734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DC8BA" w14:textId="77777777" w:rsidR="00AA70E4" w:rsidRDefault="00AA70E4" w:rsidP="00734ED5">
      <w:r>
        <w:separator/>
      </w:r>
    </w:p>
  </w:footnote>
  <w:footnote w:type="continuationSeparator" w:id="0">
    <w:p w14:paraId="7B306006" w14:textId="77777777" w:rsidR="00AA70E4" w:rsidRDefault="00AA70E4" w:rsidP="00734E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167D4" w14:textId="36CD6D3D" w:rsidR="007B533D" w:rsidRDefault="007B533D" w:rsidP="00042C2A">
    <w:pPr>
      <w:rPr>
        <w:sz w:val="24"/>
        <w:szCs w:val="24"/>
      </w:rPr>
    </w:pPr>
    <w:r>
      <w:rPr>
        <w:sz w:val="24"/>
        <w:szCs w:val="24"/>
      </w:rPr>
      <w:t xml:space="preserve">Heidi Fought, Executive Director </w:t>
    </w:r>
  </w:p>
  <w:p w14:paraId="061E9BEF" w14:textId="1F2E72FC" w:rsidR="00925899" w:rsidRDefault="007B533D" w:rsidP="00042C2A">
    <w:pPr>
      <w:rPr>
        <w:sz w:val="24"/>
        <w:szCs w:val="24"/>
      </w:rPr>
    </w:pPr>
    <w:r>
      <w:rPr>
        <w:sz w:val="24"/>
        <w:szCs w:val="24"/>
      </w:rPr>
      <w:t xml:space="preserve">Federal </w:t>
    </w:r>
    <w:r w:rsidR="00925899">
      <w:rPr>
        <w:sz w:val="24"/>
        <w:szCs w:val="24"/>
      </w:rPr>
      <w:t>Procurement Policy</w:t>
    </w:r>
  </w:p>
  <w:p w14:paraId="53FDDEA0" w14:textId="38282709" w:rsidR="007B533D" w:rsidRPr="004960A2" w:rsidRDefault="007B533D" w:rsidP="00042C2A">
    <w:pPr>
      <w:rPr>
        <w:sz w:val="24"/>
        <w:szCs w:val="24"/>
      </w:rPr>
    </w:pPr>
    <w:r>
      <w:rPr>
        <w:sz w:val="24"/>
        <w:szCs w:val="24"/>
      </w:rPr>
      <w:t xml:space="preserve">April 11, 2022 </w:t>
    </w:r>
  </w:p>
  <w:p w14:paraId="6EF1B5D3" w14:textId="4E7B8194" w:rsidR="00992DAE" w:rsidRDefault="00734ED5">
    <w:pPr>
      <w:pStyle w:val="Header"/>
      <w:rPr>
        <w:noProof/>
        <w:sz w:val="22"/>
        <w:szCs w:val="22"/>
      </w:rPr>
    </w:pPr>
    <w:r w:rsidRPr="00734ED5">
      <w:rPr>
        <w:sz w:val="22"/>
        <w:szCs w:val="22"/>
      </w:rPr>
      <w:t xml:space="preserve">Page </w:t>
    </w:r>
    <w:r w:rsidRPr="00734ED5">
      <w:rPr>
        <w:sz w:val="22"/>
        <w:szCs w:val="22"/>
      </w:rPr>
      <w:fldChar w:fldCharType="begin"/>
    </w:r>
    <w:r w:rsidRPr="00734ED5">
      <w:rPr>
        <w:sz w:val="22"/>
        <w:szCs w:val="22"/>
      </w:rPr>
      <w:instrText xml:space="preserve"> PAGE   \* MERGEFORMAT </w:instrText>
    </w:r>
    <w:r w:rsidRPr="00734ED5">
      <w:rPr>
        <w:sz w:val="22"/>
        <w:szCs w:val="22"/>
      </w:rPr>
      <w:fldChar w:fldCharType="separate"/>
    </w:r>
    <w:r w:rsidR="00043C6D">
      <w:rPr>
        <w:noProof/>
        <w:sz w:val="22"/>
        <w:szCs w:val="22"/>
      </w:rPr>
      <w:t>2</w:t>
    </w:r>
    <w:r w:rsidRPr="00734ED5">
      <w:rPr>
        <w:noProof/>
        <w:sz w:val="22"/>
        <w:szCs w:val="22"/>
      </w:rPr>
      <w:fldChar w:fldCharType="end"/>
    </w:r>
  </w:p>
  <w:p w14:paraId="7326EE1E" w14:textId="77777777" w:rsidR="00FA4213" w:rsidRPr="00734ED5" w:rsidRDefault="00FA4213">
    <w:pPr>
      <w:pStyle w:val="Header"/>
      <w:rPr>
        <w:noProof/>
        <w:sz w:val="22"/>
        <w:szCs w:val="22"/>
      </w:rPr>
    </w:pPr>
  </w:p>
  <w:p w14:paraId="527769E0" w14:textId="77777777" w:rsidR="00734ED5" w:rsidRDefault="00734E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0775D"/>
    <w:multiLevelType w:val="hybridMultilevel"/>
    <w:tmpl w:val="38E87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FA4A28"/>
    <w:multiLevelType w:val="hybridMultilevel"/>
    <w:tmpl w:val="38E87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1824B4"/>
    <w:multiLevelType w:val="hybridMultilevel"/>
    <w:tmpl w:val="963C0BA8"/>
    <w:lvl w:ilvl="0" w:tplc="5BDC5F5A">
      <w:start w:val="1"/>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3" w15:restartNumberingAfterBreak="0">
    <w:nsid w:val="710217BC"/>
    <w:multiLevelType w:val="hybridMultilevel"/>
    <w:tmpl w:val="7A58E6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683318"/>
    <w:multiLevelType w:val="hybridMultilevel"/>
    <w:tmpl w:val="C456C7FC"/>
    <w:lvl w:ilvl="0" w:tplc="81D8CD40">
      <w:start w:val="1"/>
      <w:numFmt w:val="lowerLetter"/>
      <w:lvlText w:val="(%1)"/>
      <w:lvlJc w:val="left"/>
      <w:pPr>
        <w:ind w:left="800" w:hanging="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3CA"/>
    <w:rsid w:val="00001296"/>
    <w:rsid w:val="00021DC8"/>
    <w:rsid w:val="00025636"/>
    <w:rsid w:val="00026B0F"/>
    <w:rsid w:val="00033E33"/>
    <w:rsid w:val="000418EF"/>
    <w:rsid w:val="00042C2A"/>
    <w:rsid w:val="00043C6D"/>
    <w:rsid w:val="000476A0"/>
    <w:rsid w:val="000573CB"/>
    <w:rsid w:val="000651AB"/>
    <w:rsid w:val="00066898"/>
    <w:rsid w:val="00072056"/>
    <w:rsid w:val="00086BBA"/>
    <w:rsid w:val="00091B08"/>
    <w:rsid w:val="00097B44"/>
    <w:rsid w:val="000A048F"/>
    <w:rsid w:val="000A38DB"/>
    <w:rsid w:val="000A63F8"/>
    <w:rsid w:val="000B1022"/>
    <w:rsid w:val="000B282B"/>
    <w:rsid w:val="000C341F"/>
    <w:rsid w:val="000C5C69"/>
    <w:rsid w:val="000C7C6B"/>
    <w:rsid w:val="000D69AD"/>
    <w:rsid w:val="000E4DCA"/>
    <w:rsid w:val="00105B0D"/>
    <w:rsid w:val="001060B5"/>
    <w:rsid w:val="00111053"/>
    <w:rsid w:val="00116F4A"/>
    <w:rsid w:val="001223DC"/>
    <w:rsid w:val="00127118"/>
    <w:rsid w:val="00144997"/>
    <w:rsid w:val="0014508C"/>
    <w:rsid w:val="001479BF"/>
    <w:rsid w:val="001521EF"/>
    <w:rsid w:val="00152960"/>
    <w:rsid w:val="00163CD0"/>
    <w:rsid w:val="001646D2"/>
    <w:rsid w:val="00177C57"/>
    <w:rsid w:val="001815A5"/>
    <w:rsid w:val="00190A60"/>
    <w:rsid w:val="001A36B8"/>
    <w:rsid w:val="001A595A"/>
    <w:rsid w:val="001D0262"/>
    <w:rsid w:val="001D04FB"/>
    <w:rsid w:val="001F157A"/>
    <w:rsid w:val="001F2CD9"/>
    <w:rsid w:val="001F5667"/>
    <w:rsid w:val="001F6DB4"/>
    <w:rsid w:val="00200379"/>
    <w:rsid w:val="00210CBB"/>
    <w:rsid w:val="002142E5"/>
    <w:rsid w:val="002160D6"/>
    <w:rsid w:val="00226C32"/>
    <w:rsid w:val="002345F6"/>
    <w:rsid w:val="00246CA8"/>
    <w:rsid w:val="00255785"/>
    <w:rsid w:val="0026531E"/>
    <w:rsid w:val="00265365"/>
    <w:rsid w:val="002653E1"/>
    <w:rsid w:val="00273E7A"/>
    <w:rsid w:val="00277002"/>
    <w:rsid w:val="00292EFB"/>
    <w:rsid w:val="00297B0A"/>
    <w:rsid w:val="002A29F5"/>
    <w:rsid w:val="002A3EE7"/>
    <w:rsid w:val="002C55B4"/>
    <w:rsid w:val="002D43E5"/>
    <w:rsid w:val="002D7B8B"/>
    <w:rsid w:val="002E5FE0"/>
    <w:rsid w:val="002F6A70"/>
    <w:rsid w:val="00315B36"/>
    <w:rsid w:val="00324CB6"/>
    <w:rsid w:val="00324D71"/>
    <w:rsid w:val="00327EB2"/>
    <w:rsid w:val="00331657"/>
    <w:rsid w:val="00335433"/>
    <w:rsid w:val="00342A00"/>
    <w:rsid w:val="0034599C"/>
    <w:rsid w:val="00345E45"/>
    <w:rsid w:val="00346C7B"/>
    <w:rsid w:val="00352044"/>
    <w:rsid w:val="00370738"/>
    <w:rsid w:val="00380BF4"/>
    <w:rsid w:val="00392F1D"/>
    <w:rsid w:val="0039520E"/>
    <w:rsid w:val="003A2D76"/>
    <w:rsid w:val="003A76CC"/>
    <w:rsid w:val="003C151C"/>
    <w:rsid w:val="003C2984"/>
    <w:rsid w:val="003D292D"/>
    <w:rsid w:val="003D415A"/>
    <w:rsid w:val="0040019C"/>
    <w:rsid w:val="004278FE"/>
    <w:rsid w:val="00427CDF"/>
    <w:rsid w:val="00433347"/>
    <w:rsid w:val="00437696"/>
    <w:rsid w:val="004433B4"/>
    <w:rsid w:val="004554D1"/>
    <w:rsid w:val="00457040"/>
    <w:rsid w:val="004623FF"/>
    <w:rsid w:val="00463A09"/>
    <w:rsid w:val="00466405"/>
    <w:rsid w:val="00467215"/>
    <w:rsid w:val="00473F3E"/>
    <w:rsid w:val="004740AB"/>
    <w:rsid w:val="00493BCA"/>
    <w:rsid w:val="004960A2"/>
    <w:rsid w:val="004A48DA"/>
    <w:rsid w:val="004A5963"/>
    <w:rsid w:val="004B3400"/>
    <w:rsid w:val="004B5253"/>
    <w:rsid w:val="004C34FD"/>
    <w:rsid w:val="004C3BAD"/>
    <w:rsid w:val="004C4135"/>
    <w:rsid w:val="004C48DC"/>
    <w:rsid w:val="004D36B7"/>
    <w:rsid w:val="004E4B90"/>
    <w:rsid w:val="00503500"/>
    <w:rsid w:val="005150A3"/>
    <w:rsid w:val="00521939"/>
    <w:rsid w:val="00521B89"/>
    <w:rsid w:val="005442F2"/>
    <w:rsid w:val="005500E5"/>
    <w:rsid w:val="00551B60"/>
    <w:rsid w:val="0055359F"/>
    <w:rsid w:val="00563D00"/>
    <w:rsid w:val="00567ED9"/>
    <w:rsid w:val="00572897"/>
    <w:rsid w:val="00577727"/>
    <w:rsid w:val="005922B3"/>
    <w:rsid w:val="005A5E85"/>
    <w:rsid w:val="005A63A7"/>
    <w:rsid w:val="005D22C2"/>
    <w:rsid w:val="005D79B7"/>
    <w:rsid w:val="005F2423"/>
    <w:rsid w:val="005F3309"/>
    <w:rsid w:val="0061109E"/>
    <w:rsid w:val="006145B5"/>
    <w:rsid w:val="00623BFE"/>
    <w:rsid w:val="00651386"/>
    <w:rsid w:val="00655108"/>
    <w:rsid w:val="00662F0F"/>
    <w:rsid w:val="00670C3D"/>
    <w:rsid w:val="006712CA"/>
    <w:rsid w:val="006845B0"/>
    <w:rsid w:val="00691D3A"/>
    <w:rsid w:val="00692F4A"/>
    <w:rsid w:val="006A37AB"/>
    <w:rsid w:val="006D49DB"/>
    <w:rsid w:val="006E2DAB"/>
    <w:rsid w:val="006E470B"/>
    <w:rsid w:val="0071271A"/>
    <w:rsid w:val="0072025D"/>
    <w:rsid w:val="00722C30"/>
    <w:rsid w:val="00724DE8"/>
    <w:rsid w:val="00730E8D"/>
    <w:rsid w:val="00731368"/>
    <w:rsid w:val="00732A66"/>
    <w:rsid w:val="007335FF"/>
    <w:rsid w:val="0073371A"/>
    <w:rsid w:val="00734ED5"/>
    <w:rsid w:val="0075346E"/>
    <w:rsid w:val="007579FD"/>
    <w:rsid w:val="00762060"/>
    <w:rsid w:val="00762829"/>
    <w:rsid w:val="00767347"/>
    <w:rsid w:val="00767B65"/>
    <w:rsid w:val="00767F2A"/>
    <w:rsid w:val="0077150D"/>
    <w:rsid w:val="00790E37"/>
    <w:rsid w:val="00792AE1"/>
    <w:rsid w:val="007938FD"/>
    <w:rsid w:val="007950AD"/>
    <w:rsid w:val="007A49B8"/>
    <w:rsid w:val="007B533D"/>
    <w:rsid w:val="007D3C97"/>
    <w:rsid w:val="007E3223"/>
    <w:rsid w:val="007E6455"/>
    <w:rsid w:val="007F7A9C"/>
    <w:rsid w:val="008067CE"/>
    <w:rsid w:val="00817A9A"/>
    <w:rsid w:val="008244E6"/>
    <w:rsid w:val="0083265A"/>
    <w:rsid w:val="00854E00"/>
    <w:rsid w:val="00855FF9"/>
    <w:rsid w:val="00866090"/>
    <w:rsid w:val="008716EE"/>
    <w:rsid w:val="00894214"/>
    <w:rsid w:val="0089788F"/>
    <w:rsid w:val="008A06B3"/>
    <w:rsid w:val="008C0433"/>
    <w:rsid w:val="008C0C6C"/>
    <w:rsid w:val="008C4C02"/>
    <w:rsid w:val="008C7526"/>
    <w:rsid w:val="008D38C8"/>
    <w:rsid w:val="008E4DA5"/>
    <w:rsid w:val="008F1595"/>
    <w:rsid w:val="009021C1"/>
    <w:rsid w:val="00914CC3"/>
    <w:rsid w:val="009224BE"/>
    <w:rsid w:val="00925899"/>
    <w:rsid w:val="009263CA"/>
    <w:rsid w:val="00933543"/>
    <w:rsid w:val="00934738"/>
    <w:rsid w:val="00934E2D"/>
    <w:rsid w:val="00941477"/>
    <w:rsid w:val="0094241D"/>
    <w:rsid w:val="00954398"/>
    <w:rsid w:val="0096193D"/>
    <w:rsid w:val="00973A46"/>
    <w:rsid w:val="00983F72"/>
    <w:rsid w:val="009868BD"/>
    <w:rsid w:val="00987073"/>
    <w:rsid w:val="00990467"/>
    <w:rsid w:val="009907EA"/>
    <w:rsid w:val="00992876"/>
    <w:rsid w:val="00992DAE"/>
    <w:rsid w:val="00992F69"/>
    <w:rsid w:val="009945D2"/>
    <w:rsid w:val="009B28C3"/>
    <w:rsid w:val="009B5412"/>
    <w:rsid w:val="009B5E5A"/>
    <w:rsid w:val="009B6FE8"/>
    <w:rsid w:val="009C0F63"/>
    <w:rsid w:val="009C1020"/>
    <w:rsid w:val="009E05A7"/>
    <w:rsid w:val="009F26E4"/>
    <w:rsid w:val="009F5392"/>
    <w:rsid w:val="00A12FC6"/>
    <w:rsid w:val="00A141B2"/>
    <w:rsid w:val="00A17C09"/>
    <w:rsid w:val="00A219F5"/>
    <w:rsid w:val="00A2422D"/>
    <w:rsid w:val="00A26990"/>
    <w:rsid w:val="00A3114D"/>
    <w:rsid w:val="00A5610E"/>
    <w:rsid w:val="00A57F77"/>
    <w:rsid w:val="00A96A46"/>
    <w:rsid w:val="00AA3A91"/>
    <w:rsid w:val="00AA70E4"/>
    <w:rsid w:val="00AD5891"/>
    <w:rsid w:val="00AE5162"/>
    <w:rsid w:val="00AF088E"/>
    <w:rsid w:val="00AF564B"/>
    <w:rsid w:val="00AF5F8A"/>
    <w:rsid w:val="00AF69FA"/>
    <w:rsid w:val="00AF7EC1"/>
    <w:rsid w:val="00B06809"/>
    <w:rsid w:val="00B27FA3"/>
    <w:rsid w:val="00B30824"/>
    <w:rsid w:val="00B46A2F"/>
    <w:rsid w:val="00B60F77"/>
    <w:rsid w:val="00B718C4"/>
    <w:rsid w:val="00B80FA9"/>
    <w:rsid w:val="00B863B0"/>
    <w:rsid w:val="00B9137A"/>
    <w:rsid w:val="00B9410E"/>
    <w:rsid w:val="00B96D90"/>
    <w:rsid w:val="00BB0D15"/>
    <w:rsid w:val="00BB4545"/>
    <w:rsid w:val="00BB4BC3"/>
    <w:rsid w:val="00BC12CA"/>
    <w:rsid w:val="00BD1DE7"/>
    <w:rsid w:val="00BD3FA0"/>
    <w:rsid w:val="00BF0FD2"/>
    <w:rsid w:val="00BF1006"/>
    <w:rsid w:val="00BF7EE9"/>
    <w:rsid w:val="00C00681"/>
    <w:rsid w:val="00C1557D"/>
    <w:rsid w:val="00C423F7"/>
    <w:rsid w:val="00C44A98"/>
    <w:rsid w:val="00C45C53"/>
    <w:rsid w:val="00C51104"/>
    <w:rsid w:val="00C53536"/>
    <w:rsid w:val="00C62071"/>
    <w:rsid w:val="00C623C1"/>
    <w:rsid w:val="00C6535A"/>
    <w:rsid w:val="00C66726"/>
    <w:rsid w:val="00C7743E"/>
    <w:rsid w:val="00C91531"/>
    <w:rsid w:val="00C93AAD"/>
    <w:rsid w:val="00C960F7"/>
    <w:rsid w:val="00CA00C1"/>
    <w:rsid w:val="00CB45FE"/>
    <w:rsid w:val="00CB6D1A"/>
    <w:rsid w:val="00CC2B27"/>
    <w:rsid w:val="00CC52C4"/>
    <w:rsid w:val="00CD0FB2"/>
    <w:rsid w:val="00CD245E"/>
    <w:rsid w:val="00CE0715"/>
    <w:rsid w:val="00CE4403"/>
    <w:rsid w:val="00CF7BA7"/>
    <w:rsid w:val="00D01ADD"/>
    <w:rsid w:val="00D07325"/>
    <w:rsid w:val="00D11D0A"/>
    <w:rsid w:val="00D240CF"/>
    <w:rsid w:val="00D327AA"/>
    <w:rsid w:val="00D434FD"/>
    <w:rsid w:val="00D50E9B"/>
    <w:rsid w:val="00D51795"/>
    <w:rsid w:val="00D53C90"/>
    <w:rsid w:val="00D54346"/>
    <w:rsid w:val="00D6227F"/>
    <w:rsid w:val="00D6450A"/>
    <w:rsid w:val="00D76A43"/>
    <w:rsid w:val="00D7788F"/>
    <w:rsid w:val="00D84603"/>
    <w:rsid w:val="00D9242E"/>
    <w:rsid w:val="00D96BAD"/>
    <w:rsid w:val="00DB0D96"/>
    <w:rsid w:val="00DC3115"/>
    <w:rsid w:val="00DC42F0"/>
    <w:rsid w:val="00DD0618"/>
    <w:rsid w:val="00DE0F47"/>
    <w:rsid w:val="00DE3803"/>
    <w:rsid w:val="00DF1A10"/>
    <w:rsid w:val="00DF3248"/>
    <w:rsid w:val="00DF44C5"/>
    <w:rsid w:val="00E07824"/>
    <w:rsid w:val="00E11651"/>
    <w:rsid w:val="00E14BF7"/>
    <w:rsid w:val="00E176CD"/>
    <w:rsid w:val="00E223A5"/>
    <w:rsid w:val="00E23260"/>
    <w:rsid w:val="00E24260"/>
    <w:rsid w:val="00E33D10"/>
    <w:rsid w:val="00E36D10"/>
    <w:rsid w:val="00E4472D"/>
    <w:rsid w:val="00E5264A"/>
    <w:rsid w:val="00E5495E"/>
    <w:rsid w:val="00E56658"/>
    <w:rsid w:val="00E56B12"/>
    <w:rsid w:val="00E66FA5"/>
    <w:rsid w:val="00E70264"/>
    <w:rsid w:val="00E773A6"/>
    <w:rsid w:val="00E80627"/>
    <w:rsid w:val="00E81A9A"/>
    <w:rsid w:val="00E841CA"/>
    <w:rsid w:val="00E84FDC"/>
    <w:rsid w:val="00E9431F"/>
    <w:rsid w:val="00E96885"/>
    <w:rsid w:val="00EA1184"/>
    <w:rsid w:val="00EA46F2"/>
    <w:rsid w:val="00EB2396"/>
    <w:rsid w:val="00EB7B45"/>
    <w:rsid w:val="00EC713E"/>
    <w:rsid w:val="00ED1177"/>
    <w:rsid w:val="00ED1D67"/>
    <w:rsid w:val="00ED7937"/>
    <w:rsid w:val="00EE1544"/>
    <w:rsid w:val="00EE1E3C"/>
    <w:rsid w:val="00EF5DE1"/>
    <w:rsid w:val="00EF785B"/>
    <w:rsid w:val="00F00E92"/>
    <w:rsid w:val="00F037B0"/>
    <w:rsid w:val="00F05A75"/>
    <w:rsid w:val="00F5763A"/>
    <w:rsid w:val="00F60A35"/>
    <w:rsid w:val="00F64D46"/>
    <w:rsid w:val="00F72716"/>
    <w:rsid w:val="00F81200"/>
    <w:rsid w:val="00F81203"/>
    <w:rsid w:val="00F93DC0"/>
    <w:rsid w:val="00F93E3B"/>
    <w:rsid w:val="00FA4213"/>
    <w:rsid w:val="00FA45B4"/>
    <w:rsid w:val="00FB04A8"/>
    <w:rsid w:val="00FC6E52"/>
    <w:rsid w:val="00FD56DE"/>
    <w:rsid w:val="00FE11B4"/>
    <w:rsid w:val="00FE24AF"/>
    <w:rsid w:val="00FF7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DA6BD"/>
  <w15:docId w15:val="{ED850FC1-2BF3-4BBF-BA05-620D2B209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HAnsi"/>
        <w:sz w:val="26"/>
        <w:szCs w:val="26"/>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CD9"/>
    <w:pPr>
      <w:autoSpaceDE w:val="0"/>
      <w:autoSpaceDN w:val="0"/>
      <w:adjustRightInd w:val="0"/>
      <w:jc w:val="left"/>
    </w:pPr>
    <w:rPr>
      <w:rFonts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5253"/>
    <w:rPr>
      <w:color w:val="0000FF" w:themeColor="hyperlink"/>
      <w:u w:val="single"/>
    </w:rPr>
  </w:style>
  <w:style w:type="paragraph" w:styleId="BalloonText">
    <w:name w:val="Balloon Text"/>
    <w:basedOn w:val="Normal"/>
    <w:link w:val="BalloonTextChar"/>
    <w:uiPriority w:val="99"/>
    <w:semiHidden/>
    <w:unhideWhenUsed/>
    <w:rsid w:val="00C93AAD"/>
    <w:pPr>
      <w:autoSpaceDE/>
      <w:autoSpaceDN/>
      <w:adjustRightInd/>
      <w:jc w:val="both"/>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3AAD"/>
    <w:rPr>
      <w:rFonts w:ascii="Tahoma" w:hAnsi="Tahoma" w:cs="Tahoma"/>
      <w:sz w:val="16"/>
      <w:szCs w:val="16"/>
    </w:rPr>
  </w:style>
  <w:style w:type="paragraph" w:styleId="Header">
    <w:name w:val="header"/>
    <w:basedOn w:val="Normal"/>
    <w:link w:val="HeaderChar"/>
    <w:uiPriority w:val="99"/>
    <w:unhideWhenUsed/>
    <w:rsid w:val="00734ED5"/>
    <w:pPr>
      <w:tabs>
        <w:tab w:val="center" w:pos="4680"/>
        <w:tab w:val="right" w:pos="9360"/>
      </w:tabs>
    </w:pPr>
  </w:style>
  <w:style w:type="character" w:customStyle="1" w:styleId="HeaderChar">
    <w:name w:val="Header Char"/>
    <w:basedOn w:val="DefaultParagraphFont"/>
    <w:link w:val="Header"/>
    <w:uiPriority w:val="99"/>
    <w:rsid w:val="00734ED5"/>
    <w:rPr>
      <w:rFonts w:cs="Times New Roman"/>
      <w:sz w:val="20"/>
      <w:szCs w:val="20"/>
    </w:rPr>
  </w:style>
  <w:style w:type="paragraph" w:styleId="Footer">
    <w:name w:val="footer"/>
    <w:basedOn w:val="Normal"/>
    <w:link w:val="FooterChar"/>
    <w:uiPriority w:val="99"/>
    <w:unhideWhenUsed/>
    <w:rsid w:val="00734ED5"/>
    <w:pPr>
      <w:tabs>
        <w:tab w:val="center" w:pos="4680"/>
        <w:tab w:val="right" w:pos="9360"/>
      </w:tabs>
    </w:pPr>
  </w:style>
  <w:style w:type="character" w:customStyle="1" w:styleId="FooterChar">
    <w:name w:val="Footer Char"/>
    <w:basedOn w:val="DefaultParagraphFont"/>
    <w:link w:val="Footer"/>
    <w:uiPriority w:val="99"/>
    <w:rsid w:val="00734ED5"/>
    <w:rPr>
      <w:rFonts w:cs="Times New Roman"/>
      <w:sz w:val="20"/>
      <w:szCs w:val="20"/>
    </w:rPr>
  </w:style>
  <w:style w:type="table" w:styleId="TableGrid">
    <w:name w:val="Table Grid"/>
    <w:basedOn w:val="TableNormal"/>
    <w:uiPriority w:val="59"/>
    <w:unhideWhenUsed/>
    <w:rsid w:val="001F2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F2CD9"/>
    <w:pPr>
      <w:autoSpaceDE/>
      <w:autoSpaceDN/>
      <w:adjustRightInd/>
      <w:spacing w:before="100" w:beforeAutospacing="1" w:after="100" w:afterAutospacing="1"/>
    </w:pPr>
    <w:rPr>
      <w:rFonts w:eastAsia="Times New Roman"/>
      <w:sz w:val="24"/>
      <w:szCs w:val="24"/>
    </w:rPr>
  </w:style>
  <w:style w:type="character" w:styleId="UnresolvedMention">
    <w:name w:val="Unresolved Mention"/>
    <w:basedOn w:val="DefaultParagraphFont"/>
    <w:uiPriority w:val="99"/>
    <w:semiHidden/>
    <w:unhideWhenUsed/>
    <w:rsid w:val="002C55B4"/>
    <w:rPr>
      <w:color w:val="605E5C"/>
      <w:shd w:val="clear" w:color="auto" w:fill="E1DFDD"/>
    </w:rPr>
  </w:style>
  <w:style w:type="character" w:customStyle="1" w:styleId="desktop-title-subcontent">
    <w:name w:val="desktop-title-subcontent"/>
    <w:basedOn w:val="DefaultParagraphFont"/>
    <w:rsid w:val="00F05A75"/>
  </w:style>
  <w:style w:type="paragraph" w:styleId="ListParagraph">
    <w:name w:val="List Paragraph"/>
    <w:basedOn w:val="Normal"/>
    <w:uiPriority w:val="34"/>
    <w:qFormat/>
    <w:rsid w:val="00AF7EC1"/>
    <w:pPr>
      <w:ind w:left="720"/>
      <w:contextualSpacing/>
    </w:pPr>
  </w:style>
  <w:style w:type="character" w:customStyle="1" w:styleId="apple-converted-space">
    <w:name w:val="apple-converted-space"/>
    <w:basedOn w:val="DefaultParagraphFont"/>
    <w:rsid w:val="001449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161748">
      <w:bodyDiv w:val="1"/>
      <w:marLeft w:val="0"/>
      <w:marRight w:val="0"/>
      <w:marTop w:val="0"/>
      <w:marBottom w:val="0"/>
      <w:divBdr>
        <w:top w:val="none" w:sz="0" w:space="0" w:color="auto"/>
        <w:left w:val="none" w:sz="0" w:space="0" w:color="auto"/>
        <w:bottom w:val="none" w:sz="0" w:space="0" w:color="auto"/>
        <w:right w:val="none" w:sz="0" w:space="0" w:color="auto"/>
      </w:divBdr>
      <w:divsChild>
        <w:div w:id="1709185159">
          <w:marLeft w:val="0"/>
          <w:marRight w:val="0"/>
          <w:marTop w:val="0"/>
          <w:marBottom w:val="0"/>
          <w:divBdr>
            <w:top w:val="none" w:sz="0" w:space="0" w:color="auto"/>
            <w:left w:val="none" w:sz="0" w:space="0" w:color="auto"/>
            <w:bottom w:val="none" w:sz="0" w:space="0" w:color="auto"/>
            <w:right w:val="none" w:sz="0" w:space="0" w:color="auto"/>
          </w:divBdr>
          <w:divsChild>
            <w:div w:id="1708331812">
              <w:marLeft w:val="0"/>
              <w:marRight w:val="0"/>
              <w:marTop w:val="0"/>
              <w:marBottom w:val="0"/>
              <w:divBdr>
                <w:top w:val="none" w:sz="0" w:space="0" w:color="auto"/>
                <w:left w:val="none" w:sz="0" w:space="0" w:color="auto"/>
                <w:bottom w:val="none" w:sz="0" w:space="0" w:color="auto"/>
                <w:right w:val="none" w:sz="0" w:space="0" w:color="auto"/>
              </w:divBdr>
              <w:divsChild>
                <w:div w:id="149606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050763">
          <w:marLeft w:val="0"/>
          <w:marRight w:val="0"/>
          <w:marTop w:val="225"/>
          <w:marBottom w:val="0"/>
          <w:divBdr>
            <w:top w:val="none" w:sz="0" w:space="0" w:color="auto"/>
            <w:left w:val="none" w:sz="0" w:space="0" w:color="auto"/>
            <w:bottom w:val="none" w:sz="0" w:space="0" w:color="auto"/>
            <w:right w:val="none" w:sz="0" w:space="0" w:color="auto"/>
          </w:divBdr>
        </w:div>
      </w:divsChild>
    </w:div>
    <w:div w:id="516621872">
      <w:bodyDiv w:val="1"/>
      <w:marLeft w:val="0"/>
      <w:marRight w:val="0"/>
      <w:marTop w:val="0"/>
      <w:marBottom w:val="0"/>
      <w:divBdr>
        <w:top w:val="none" w:sz="0" w:space="0" w:color="auto"/>
        <w:left w:val="none" w:sz="0" w:space="0" w:color="auto"/>
        <w:bottom w:val="none" w:sz="0" w:space="0" w:color="auto"/>
        <w:right w:val="none" w:sz="0" w:space="0" w:color="auto"/>
      </w:divBdr>
      <w:divsChild>
        <w:div w:id="208424666">
          <w:marLeft w:val="0"/>
          <w:marRight w:val="0"/>
          <w:marTop w:val="0"/>
          <w:marBottom w:val="0"/>
          <w:divBdr>
            <w:top w:val="none" w:sz="0" w:space="0" w:color="auto"/>
            <w:left w:val="none" w:sz="0" w:space="0" w:color="auto"/>
            <w:bottom w:val="none" w:sz="0" w:space="0" w:color="auto"/>
            <w:right w:val="none" w:sz="0" w:space="0" w:color="auto"/>
          </w:divBdr>
          <w:divsChild>
            <w:div w:id="1975325901">
              <w:marLeft w:val="0"/>
              <w:marRight w:val="0"/>
              <w:marTop w:val="0"/>
              <w:marBottom w:val="0"/>
              <w:divBdr>
                <w:top w:val="none" w:sz="0" w:space="0" w:color="auto"/>
                <w:left w:val="none" w:sz="0" w:space="0" w:color="auto"/>
                <w:bottom w:val="none" w:sz="0" w:space="0" w:color="auto"/>
                <w:right w:val="none" w:sz="0" w:space="0" w:color="auto"/>
              </w:divBdr>
              <w:divsChild>
                <w:div w:id="110816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678608">
      <w:bodyDiv w:val="1"/>
      <w:marLeft w:val="0"/>
      <w:marRight w:val="0"/>
      <w:marTop w:val="0"/>
      <w:marBottom w:val="0"/>
      <w:divBdr>
        <w:top w:val="none" w:sz="0" w:space="0" w:color="auto"/>
        <w:left w:val="none" w:sz="0" w:space="0" w:color="auto"/>
        <w:bottom w:val="none" w:sz="0" w:space="0" w:color="auto"/>
        <w:right w:val="none" w:sz="0" w:space="0" w:color="auto"/>
      </w:divBdr>
    </w:div>
    <w:div w:id="689332936">
      <w:bodyDiv w:val="1"/>
      <w:marLeft w:val="0"/>
      <w:marRight w:val="0"/>
      <w:marTop w:val="0"/>
      <w:marBottom w:val="0"/>
      <w:divBdr>
        <w:top w:val="none" w:sz="0" w:space="0" w:color="auto"/>
        <w:left w:val="none" w:sz="0" w:space="0" w:color="auto"/>
        <w:bottom w:val="none" w:sz="0" w:space="0" w:color="auto"/>
        <w:right w:val="none" w:sz="0" w:space="0" w:color="auto"/>
      </w:divBdr>
    </w:div>
    <w:div w:id="707149302">
      <w:bodyDiv w:val="1"/>
      <w:marLeft w:val="0"/>
      <w:marRight w:val="0"/>
      <w:marTop w:val="0"/>
      <w:marBottom w:val="0"/>
      <w:divBdr>
        <w:top w:val="none" w:sz="0" w:space="0" w:color="auto"/>
        <w:left w:val="none" w:sz="0" w:space="0" w:color="auto"/>
        <w:bottom w:val="none" w:sz="0" w:space="0" w:color="auto"/>
        <w:right w:val="none" w:sz="0" w:space="0" w:color="auto"/>
      </w:divBdr>
    </w:div>
    <w:div w:id="912738061">
      <w:bodyDiv w:val="1"/>
      <w:marLeft w:val="0"/>
      <w:marRight w:val="0"/>
      <w:marTop w:val="0"/>
      <w:marBottom w:val="0"/>
      <w:divBdr>
        <w:top w:val="none" w:sz="0" w:space="0" w:color="auto"/>
        <w:left w:val="none" w:sz="0" w:space="0" w:color="auto"/>
        <w:bottom w:val="none" w:sz="0" w:space="0" w:color="auto"/>
        <w:right w:val="none" w:sz="0" w:space="0" w:color="auto"/>
      </w:divBdr>
    </w:div>
    <w:div w:id="1017391941">
      <w:bodyDiv w:val="1"/>
      <w:marLeft w:val="0"/>
      <w:marRight w:val="0"/>
      <w:marTop w:val="0"/>
      <w:marBottom w:val="0"/>
      <w:divBdr>
        <w:top w:val="none" w:sz="0" w:space="0" w:color="auto"/>
        <w:left w:val="none" w:sz="0" w:space="0" w:color="auto"/>
        <w:bottom w:val="none" w:sz="0" w:space="0" w:color="auto"/>
        <w:right w:val="none" w:sz="0" w:space="0" w:color="auto"/>
      </w:divBdr>
    </w:div>
    <w:div w:id="1018965588">
      <w:bodyDiv w:val="1"/>
      <w:marLeft w:val="0"/>
      <w:marRight w:val="0"/>
      <w:marTop w:val="0"/>
      <w:marBottom w:val="0"/>
      <w:divBdr>
        <w:top w:val="none" w:sz="0" w:space="0" w:color="auto"/>
        <w:left w:val="none" w:sz="0" w:space="0" w:color="auto"/>
        <w:bottom w:val="none" w:sz="0" w:space="0" w:color="auto"/>
        <w:right w:val="none" w:sz="0" w:space="0" w:color="auto"/>
      </w:divBdr>
    </w:div>
    <w:div w:id="1176533840">
      <w:bodyDiv w:val="1"/>
      <w:marLeft w:val="0"/>
      <w:marRight w:val="0"/>
      <w:marTop w:val="0"/>
      <w:marBottom w:val="0"/>
      <w:divBdr>
        <w:top w:val="none" w:sz="0" w:space="0" w:color="auto"/>
        <w:left w:val="none" w:sz="0" w:space="0" w:color="auto"/>
        <w:bottom w:val="none" w:sz="0" w:space="0" w:color="auto"/>
        <w:right w:val="none" w:sz="0" w:space="0" w:color="auto"/>
      </w:divBdr>
    </w:div>
    <w:div w:id="1261796297">
      <w:bodyDiv w:val="1"/>
      <w:marLeft w:val="0"/>
      <w:marRight w:val="0"/>
      <w:marTop w:val="0"/>
      <w:marBottom w:val="0"/>
      <w:divBdr>
        <w:top w:val="none" w:sz="0" w:space="0" w:color="auto"/>
        <w:left w:val="none" w:sz="0" w:space="0" w:color="auto"/>
        <w:bottom w:val="none" w:sz="0" w:space="0" w:color="auto"/>
        <w:right w:val="none" w:sz="0" w:space="0" w:color="auto"/>
      </w:divBdr>
    </w:div>
    <w:div w:id="1530601294">
      <w:bodyDiv w:val="1"/>
      <w:marLeft w:val="0"/>
      <w:marRight w:val="0"/>
      <w:marTop w:val="0"/>
      <w:marBottom w:val="0"/>
      <w:divBdr>
        <w:top w:val="none" w:sz="0" w:space="0" w:color="auto"/>
        <w:left w:val="none" w:sz="0" w:space="0" w:color="auto"/>
        <w:bottom w:val="none" w:sz="0" w:space="0" w:color="auto"/>
        <w:right w:val="none" w:sz="0" w:space="0" w:color="auto"/>
      </w:divBdr>
    </w:div>
    <w:div w:id="1887640924">
      <w:bodyDiv w:val="1"/>
      <w:marLeft w:val="0"/>
      <w:marRight w:val="0"/>
      <w:marTop w:val="0"/>
      <w:marBottom w:val="0"/>
      <w:divBdr>
        <w:top w:val="none" w:sz="0" w:space="0" w:color="auto"/>
        <w:left w:val="none" w:sz="0" w:space="0" w:color="auto"/>
        <w:bottom w:val="none" w:sz="0" w:space="0" w:color="auto"/>
        <w:right w:val="none" w:sz="0" w:space="0" w:color="auto"/>
      </w:divBdr>
      <w:divsChild>
        <w:div w:id="26613114">
          <w:marLeft w:val="0"/>
          <w:marRight w:val="0"/>
          <w:marTop w:val="0"/>
          <w:marBottom w:val="0"/>
          <w:divBdr>
            <w:top w:val="none" w:sz="0" w:space="0" w:color="auto"/>
            <w:left w:val="none" w:sz="0" w:space="0" w:color="auto"/>
            <w:bottom w:val="none" w:sz="0" w:space="0" w:color="auto"/>
            <w:right w:val="none" w:sz="0" w:space="0" w:color="auto"/>
          </w:divBdr>
          <w:divsChild>
            <w:div w:id="479855062">
              <w:marLeft w:val="0"/>
              <w:marRight w:val="0"/>
              <w:marTop w:val="0"/>
              <w:marBottom w:val="0"/>
              <w:divBdr>
                <w:top w:val="none" w:sz="0" w:space="0" w:color="auto"/>
                <w:left w:val="none" w:sz="0" w:space="0" w:color="auto"/>
                <w:bottom w:val="none" w:sz="0" w:space="0" w:color="auto"/>
                <w:right w:val="none" w:sz="0" w:space="0" w:color="auto"/>
              </w:divBdr>
              <w:divsChild>
                <w:div w:id="86043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478082">
      <w:bodyDiv w:val="1"/>
      <w:marLeft w:val="0"/>
      <w:marRight w:val="0"/>
      <w:marTop w:val="0"/>
      <w:marBottom w:val="0"/>
      <w:divBdr>
        <w:top w:val="none" w:sz="0" w:space="0" w:color="auto"/>
        <w:left w:val="none" w:sz="0" w:space="0" w:color="auto"/>
        <w:bottom w:val="none" w:sz="0" w:space="0" w:color="auto"/>
        <w:right w:val="none" w:sz="0" w:space="0" w:color="auto"/>
      </w:divBdr>
      <w:divsChild>
        <w:div w:id="1305045549">
          <w:marLeft w:val="0"/>
          <w:marRight w:val="0"/>
          <w:marTop w:val="0"/>
          <w:marBottom w:val="0"/>
          <w:divBdr>
            <w:top w:val="none" w:sz="0" w:space="0" w:color="auto"/>
            <w:left w:val="none" w:sz="0" w:space="0" w:color="auto"/>
            <w:bottom w:val="none" w:sz="0" w:space="0" w:color="auto"/>
            <w:right w:val="none" w:sz="0" w:space="0" w:color="auto"/>
          </w:divBdr>
          <w:divsChild>
            <w:div w:id="1146627610">
              <w:marLeft w:val="0"/>
              <w:marRight w:val="0"/>
              <w:marTop w:val="0"/>
              <w:marBottom w:val="0"/>
              <w:divBdr>
                <w:top w:val="none" w:sz="0" w:space="0" w:color="auto"/>
                <w:left w:val="none" w:sz="0" w:space="0" w:color="auto"/>
                <w:bottom w:val="none" w:sz="0" w:space="0" w:color="auto"/>
                <w:right w:val="none" w:sz="0" w:space="0" w:color="auto"/>
              </w:divBdr>
              <w:divsChild>
                <w:div w:id="12327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755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1376</Words>
  <Characters>7846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DianeM</dc:creator>
  <cp:lastModifiedBy>Shae Haas</cp:lastModifiedBy>
  <cp:revision>2</cp:revision>
  <cp:lastPrinted>2022-01-21T02:16:00Z</cp:lastPrinted>
  <dcterms:created xsi:type="dcterms:W3CDTF">2022-04-12T16:15:00Z</dcterms:created>
  <dcterms:modified xsi:type="dcterms:W3CDTF">2022-04-12T16:15:00Z</dcterms:modified>
</cp:coreProperties>
</file>