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AB" w:rsidRDefault="00115EAB" w:rsidP="006C1C90">
      <w:pPr>
        <w:jc w:val="center"/>
        <w:rPr>
          <w:rFonts w:ascii="Century" w:hAnsi="Century" w:cs="Times New Roman"/>
          <w:b/>
        </w:rPr>
      </w:pPr>
      <w:r>
        <w:rPr>
          <w:rFonts w:ascii="Garamond" w:hAnsi="Garamond"/>
          <w:b/>
          <w:bCs/>
          <w:noProof/>
        </w:rPr>
        <w:drawing>
          <wp:inline distT="0" distB="0" distL="0" distR="0" wp14:anchorId="27384FD8" wp14:editId="365BDEF3">
            <wp:extent cx="2933700" cy="1200502"/>
            <wp:effectExtent l="0" t="0" r="0" b="0"/>
            <wp:docPr id="1" name="Picture 1" descr="\\sbstowns\Share\2025 New Logo\Final Main Refreshed NYAO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bstowns\Share\2025 New Logo\Final Main Refreshed NYAOT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18" cy="12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90" w:rsidRPr="00115EAB" w:rsidRDefault="006C1C90" w:rsidP="006C1C90">
      <w:pPr>
        <w:jc w:val="center"/>
        <w:rPr>
          <w:rFonts w:ascii="Century" w:hAnsi="Century" w:cs="Times New Roman"/>
          <w:b/>
        </w:rPr>
      </w:pPr>
      <w:r w:rsidRPr="00115EAB">
        <w:rPr>
          <w:rFonts w:ascii="Century" w:hAnsi="Century" w:cs="Times New Roman"/>
          <w:b/>
        </w:rPr>
        <w:t>Talking Points on S8012/A8332 – Standardized Assessment Methodology for Renewable Energy Projects</w:t>
      </w:r>
    </w:p>
    <w:p w:rsidR="002B2548" w:rsidRDefault="006C1C90" w:rsidP="006C1C90">
      <w:pPr>
        <w:rPr>
          <w:rFonts w:ascii="Century" w:hAnsi="Century" w:cs="Times New Roman"/>
          <w:bCs/>
        </w:rPr>
      </w:pPr>
      <w:r w:rsidRPr="00115EAB">
        <w:rPr>
          <w:rFonts w:ascii="Century" w:hAnsi="Century" w:cs="Times New Roman"/>
        </w:rPr>
        <w:t>The New York Association of Towns opposed S8012/A</w:t>
      </w:r>
      <w:r w:rsidRPr="00115EAB">
        <w:rPr>
          <w:rFonts w:ascii="Century" w:hAnsi="Century" w:cs="Times New Roman"/>
        </w:rPr>
        <w:t>8332</w:t>
      </w:r>
      <w:r w:rsidRPr="00115EAB">
        <w:rPr>
          <w:rFonts w:ascii="Century" w:hAnsi="Century" w:cs="Times New Roman"/>
          <w:bCs/>
        </w:rPr>
        <w:t>, which as of 6/25 is on the Governor’s desk, and she has 10 days to act on the bill.</w:t>
      </w:r>
      <w:r w:rsidR="00115EAB" w:rsidRPr="00115EAB">
        <w:rPr>
          <w:rFonts w:ascii="Century" w:hAnsi="Century" w:cs="Times New Roman"/>
          <w:bCs/>
        </w:rPr>
        <w:t xml:space="preserve"> </w:t>
      </w:r>
      <w:r w:rsidRPr="00115EAB">
        <w:rPr>
          <w:rFonts w:ascii="Century" w:hAnsi="Century" w:cs="Times New Roman"/>
          <w:bCs/>
        </w:rPr>
        <w:t xml:space="preserve"> </w:t>
      </w:r>
      <w:r w:rsidR="00115EAB" w:rsidRPr="00115EAB">
        <w:rPr>
          <w:rFonts w:ascii="Century" w:hAnsi="Century" w:cs="Times New Roman"/>
          <w:bCs/>
        </w:rPr>
        <w:t>Previous legislation took away local authority to assess renewable energy projects and directed the New York State Department of Tax and Finance to create a standardized assessment model.</w:t>
      </w:r>
      <w:r w:rsidR="00115EAB" w:rsidRPr="00115EAB">
        <w:rPr>
          <w:rFonts w:ascii="Century" w:hAnsi="Century" w:cs="Times New Roman"/>
          <w:bCs/>
        </w:rPr>
        <w:t xml:space="preserve"> </w:t>
      </w:r>
    </w:p>
    <w:p w:rsidR="006C1C90" w:rsidRPr="00115EAB" w:rsidRDefault="006C1C90" w:rsidP="006C1C90">
      <w:pPr>
        <w:rPr>
          <w:rFonts w:ascii="Century" w:hAnsi="Century" w:cs="Times New Roman"/>
          <w:bCs/>
        </w:rPr>
      </w:pPr>
      <w:r w:rsidRPr="00115EAB">
        <w:rPr>
          <w:rFonts w:ascii="Century" w:hAnsi="Century" w:cs="Times New Roman"/>
          <w:bCs/>
        </w:rPr>
        <w:t xml:space="preserve">We are encouraging members to </w:t>
      </w:r>
      <w:r w:rsidR="00364DDF">
        <w:rPr>
          <w:rFonts w:ascii="Century" w:hAnsi="Century" w:cs="Times New Roman"/>
          <w:bCs/>
        </w:rPr>
        <w:t>reach out to</w:t>
      </w:r>
      <w:r w:rsidRPr="00115EAB">
        <w:rPr>
          <w:rFonts w:ascii="Century" w:hAnsi="Century" w:cs="Times New Roman"/>
          <w:bCs/>
        </w:rPr>
        <w:t xml:space="preserve"> the Governor’s office asking her to veto this bill. </w:t>
      </w:r>
      <w:r w:rsidR="002B2548">
        <w:rPr>
          <w:rFonts w:ascii="Century" w:hAnsi="Century" w:cs="Times New Roman"/>
          <w:bCs/>
        </w:rPr>
        <w:t xml:space="preserve">You can use </w:t>
      </w:r>
      <w:hyperlink r:id="rId6" w:history="1">
        <w:r w:rsidR="002B2548" w:rsidRPr="00364DDF">
          <w:rPr>
            <w:rStyle w:val="Hyperlink"/>
            <w:rFonts w:ascii="Century" w:hAnsi="Century" w:cs="Times New Roman"/>
            <w:bCs/>
          </w:rPr>
          <w:t>this form</w:t>
        </w:r>
      </w:hyperlink>
      <w:bookmarkStart w:id="0" w:name="_GoBack"/>
      <w:bookmarkEnd w:id="0"/>
      <w:r w:rsidR="002B2548">
        <w:rPr>
          <w:rFonts w:ascii="Century" w:hAnsi="Century" w:cs="Times New Roman"/>
          <w:bCs/>
        </w:rPr>
        <w:t>, call</w:t>
      </w:r>
      <w:r w:rsidR="00364DDF">
        <w:rPr>
          <w:rFonts w:ascii="Century" w:hAnsi="Century" w:cs="Times New Roman"/>
          <w:bCs/>
        </w:rPr>
        <w:t xml:space="preserve"> </w:t>
      </w:r>
      <w:hyperlink r:id="rId7" w:history="1">
        <w:r w:rsidR="00364DDF" w:rsidRPr="00364DDF">
          <w:rPr>
            <w:rStyle w:val="Hyperlink"/>
            <w:rFonts w:ascii="Century" w:hAnsi="Century" w:cs="Times New Roman"/>
            <w:bCs/>
          </w:rPr>
          <w:t>1-518-474-8390</w:t>
        </w:r>
      </w:hyperlink>
      <w:r w:rsidR="002B2548">
        <w:rPr>
          <w:rFonts w:ascii="Century" w:hAnsi="Century" w:cs="Times New Roman"/>
          <w:bCs/>
        </w:rPr>
        <w:t>, or reach out to your regional representative to let the E</w:t>
      </w:r>
      <w:r w:rsidR="00364DDF">
        <w:rPr>
          <w:rFonts w:ascii="Century" w:hAnsi="Century" w:cs="Times New Roman"/>
          <w:bCs/>
        </w:rPr>
        <w:t xml:space="preserve">xecutive Chamber know your position. </w:t>
      </w:r>
      <w:r w:rsidRPr="00115EAB">
        <w:rPr>
          <w:rFonts w:ascii="Century" w:hAnsi="Century" w:cs="Times New Roman"/>
          <w:bCs/>
        </w:rPr>
        <w:t>Below are some talking points for members to use.</w:t>
      </w:r>
    </w:p>
    <w:p w:rsidR="006C1C90" w:rsidRPr="00115EAB" w:rsidRDefault="006C1C90" w:rsidP="00115EAB">
      <w:pPr>
        <w:pStyle w:val="ListParagraph"/>
        <w:numPr>
          <w:ilvl w:val="0"/>
          <w:numId w:val="1"/>
        </w:numPr>
        <w:rPr>
          <w:rFonts w:ascii="Century" w:hAnsi="Century" w:cs="Times New Roman"/>
          <w:bCs/>
        </w:rPr>
      </w:pPr>
      <w:r w:rsidRPr="00115EAB">
        <w:rPr>
          <w:rFonts w:ascii="Century" w:hAnsi="Century" w:cs="Times New Roman"/>
          <w:bCs/>
        </w:rPr>
        <w:t xml:space="preserve">The bill amends </w:t>
      </w:r>
      <w:r w:rsidRPr="00115EAB">
        <w:rPr>
          <w:rFonts w:ascii="Century" w:hAnsi="Century" w:cs="Times New Roman"/>
        </w:rPr>
        <w:t>the Real Property Tax Law to modify the method for assessing solar and wind energy systems by requiring the use of a discounted cash flow approach</w:t>
      </w:r>
      <w:r w:rsidRPr="00115EAB">
        <w:rPr>
          <w:rFonts w:ascii="Century" w:hAnsi="Century" w:cs="Times New Roman"/>
        </w:rPr>
        <w:t xml:space="preserve">. </w:t>
      </w:r>
    </w:p>
    <w:p w:rsidR="006C1C90" w:rsidRPr="00115EAB" w:rsidRDefault="006C1C90" w:rsidP="006C1C90">
      <w:pPr>
        <w:pStyle w:val="ListParagraph"/>
        <w:numPr>
          <w:ilvl w:val="0"/>
          <w:numId w:val="1"/>
        </w:numPr>
        <w:rPr>
          <w:rFonts w:ascii="Century" w:hAnsi="Century" w:cs="Times New Roman"/>
        </w:rPr>
      </w:pPr>
      <w:r w:rsidRPr="00115EAB">
        <w:rPr>
          <w:rFonts w:ascii="Century" w:hAnsi="Century" w:cs="Times New Roman"/>
        </w:rPr>
        <w:t>Requires</w:t>
      </w:r>
      <w:r w:rsidRPr="00115EAB">
        <w:rPr>
          <w:rFonts w:ascii="Century" w:hAnsi="Century" w:cs="Times New Roman"/>
        </w:rPr>
        <w:t xml:space="preserve"> host community benefit payments </w:t>
      </w:r>
      <w:r w:rsidRPr="00115EAB">
        <w:rPr>
          <w:rFonts w:ascii="Century" w:hAnsi="Century" w:cs="Times New Roman"/>
        </w:rPr>
        <w:t>and decommissioning costs to be included as expenses</w:t>
      </w:r>
    </w:p>
    <w:p w:rsidR="006C1C90" w:rsidRPr="00115EAB" w:rsidRDefault="006C1C90" w:rsidP="006C1C90">
      <w:pPr>
        <w:pStyle w:val="ListParagraph"/>
        <w:numPr>
          <w:ilvl w:val="0"/>
          <w:numId w:val="1"/>
        </w:numPr>
        <w:rPr>
          <w:rFonts w:ascii="Century" w:hAnsi="Century" w:cs="Times New Roman"/>
        </w:rPr>
      </w:pPr>
      <w:r w:rsidRPr="00115EAB">
        <w:rPr>
          <w:rFonts w:ascii="Century" w:hAnsi="Century" w:cs="Times New Roman"/>
        </w:rPr>
        <w:t>Stipulates</w:t>
      </w:r>
      <w:r w:rsidRPr="00115EAB">
        <w:rPr>
          <w:rFonts w:ascii="Century" w:hAnsi="Century" w:cs="Times New Roman"/>
        </w:rPr>
        <w:t xml:space="preserve"> that federal tax credits be deemed intangible assets and not included in revenue streams, and imposes a standardized formula for determining the assessed value of solar and wind </w:t>
      </w:r>
      <w:r w:rsidRPr="00115EAB">
        <w:rPr>
          <w:rFonts w:ascii="Century" w:hAnsi="Century" w:cs="Times New Roman"/>
        </w:rPr>
        <w:t>projects.</w:t>
      </w:r>
    </w:p>
    <w:p w:rsidR="006C1C90" w:rsidRPr="00115EAB" w:rsidRDefault="006C1C90" w:rsidP="006C1C90">
      <w:pPr>
        <w:pStyle w:val="ListParagraph"/>
        <w:numPr>
          <w:ilvl w:val="0"/>
          <w:numId w:val="1"/>
        </w:numPr>
        <w:rPr>
          <w:rFonts w:ascii="Century" w:hAnsi="Century" w:cs="Times New Roman"/>
        </w:rPr>
      </w:pPr>
      <w:r w:rsidRPr="00115EAB">
        <w:rPr>
          <w:rFonts w:ascii="Century" w:hAnsi="Century" w:cs="Times New Roman"/>
        </w:rPr>
        <w:t>T</w:t>
      </w:r>
      <w:r w:rsidRPr="00115EAB">
        <w:rPr>
          <w:rFonts w:ascii="Century" w:hAnsi="Century" w:cs="Times New Roman"/>
        </w:rPr>
        <w:t>his methodology would result in a significant reduction in the assessed value of large-scale solar and wind installations, thereby diminishing the tax revenue that can be collected by municipalities</w:t>
      </w:r>
      <w:r w:rsidRPr="00115EAB">
        <w:rPr>
          <w:rFonts w:ascii="Century" w:hAnsi="Century" w:cs="Times New Roman"/>
        </w:rPr>
        <w:t>.</w:t>
      </w:r>
      <w:r w:rsidRPr="00115EAB">
        <w:rPr>
          <w:rFonts w:ascii="Century" w:hAnsi="Century" w:cs="Times New Roman"/>
        </w:rPr>
        <w:t xml:space="preserve"> </w:t>
      </w:r>
    </w:p>
    <w:p w:rsidR="006C1C90" w:rsidRPr="00115EAB" w:rsidRDefault="006C1C90" w:rsidP="006C1C90">
      <w:pPr>
        <w:pStyle w:val="ListParagraph"/>
        <w:numPr>
          <w:ilvl w:val="0"/>
          <w:numId w:val="1"/>
        </w:numPr>
        <w:rPr>
          <w:rFonts w:ascii="Century" w:hAnsi="Century" w:cs="Times New Roman"/>
        </w:rPr>
      </w:pPr>
      <w:r w:rsidRPr="00115EAB">
        <w:rPr>
          <w:rFonts w:ascii="Century" w:hAnsi="Century" w:cs="Times New Roman"/>
        </w:rPr>
        <w:t>S</w:t>
      </w:r>
      <w:r w:rsidRPr="00115EAB">
        <w:rPr>
          <w:rFonts w:ascii="Century" w:hAnsi="Century" w:cs="Times New Roman"/>
        </w:rPr>
        <w:t xml:space="preserve">olar and wind energy systems </w:t>
      </w:r>
      <w:r w:rsidRPr="00115EAB">
        <w:rPr>
          <w:rFonts w:ascii="Century" w:hAnsi="Century" w:cs="Times New Roman"/>
        </w:rPr>
        <w:t xml:space="preserve">often </w:t>
      </w:r>
      <w:r w:rsidRPr="00115EAB">
        <w:rPr>
          <w:rFonts w:ascii="Century" w:hAnsi="Century" w:cs="Times New Roman"/>
        </w:rPr>
        <w:t>encompass thousands of acres of land, which means municipalities lose a significant portion of tax income due to these projects</w:t>
      </w:r>
    </w:p>
    <w:p w:rsidR="00571440" w:rsidRPr="002B2548" w:rsidRDefault="006C1C90" w:rsidP="006C1C90">
      <w:pPr>
        <w:pStyle w:val="ListParagraph"/>
        <w:numPr>
          <w:ilvl w:val="0"/>
          <w:numId w:val="1"/>
        </w:numPr>
        <w:rPr>
          <w:rFonts w:ascii="Century" w:hAnsi="Century"/>
        </w:rPr>
      </w:pPr>
      <w:r w:rsidRPr="00115EAB">
        <w:rPr>
          <w:rFonts w:ascii="Century" w:hAnsi="Century" w:cs="Times New Roman"/>
          <w:bCs/>
        </w:rPr>
        <w:t>The</w:t>
      </w:r>
      <w:r w:rsidRPr="00115EAB">
        <w:rPr>
          <w:rFonts w:ascii="Century" w:hAnsi="Century" w:cs="Times New Roman"/>
        </w:rPr>
        <w:t xml:space="preserve"> last formula adopted by the State for assessing solar and wind energy systems only taxed the systems at a quarter of their worth which shifts the fiscal burden to residents and small businesses</w:t>
      </w:r>
    </w:p>
    <w:p w:rsidR="002B2548" w:rsidRPr="00115EAB" w:rsidRDefault="002B2548" w:rsidP="006C1C90">
      <w:pPr>
        <w:pStyle w:val="ListParagraph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 w:cs="Times New Roman"/>
        </w:rPr>
        <w:t xml:space="preserve">PILOT agreements are capped at what a project would be taxed at. Therefore, undervaluing projects for assessing purposes caps PILOT agreements </w:t>
      </w:r>
    </w:p>
    <w:sectPr w:rsidR="002B2548" w:rsidRPr="00115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A16C1"/>
    <w:multiLevelType w:val="hybridMultilevel"/>
    <w:tmpl w:val="7BCA676C"/>
    <w:lvl w:ilvl="0" w:tplc="ACC6CE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90"/>
    <w:rsid w:val="00115EAB"/>
    <w:rsid w:val="002B2548"/>
    <w:rsid w:val="00364DDF"/>
    <w:rsid w:val="00506CF9"/>
    <w:rsid w:val="00597941"/>
    <w:rsid w:val="006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2A92"/>
  <w15:chartTrackingRefBased/>
  <w15:docId w15:val="{FE938D96-1C45-40B4-81FA-3F3CC1CE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90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51847483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ernor.ny.gov/content/governor-contact-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Brancatella</dc:creator>
  <cp:keywords/>
  <dc:description/>
  <cp:lastModifiedBy>Sarah Brancatella</cp:lastModifiedBy>
  <cp:revision>2</cp:revision>
  <dcterms:created xsi:type="dcterms:W3CDTF">2025-06-26T13:34:00Z</dcterms:created>
  <dcterms:modified xsi:type="dcterms:W3CDTF">2025-06-26T13:57:00Z</dcterms:modified>
</cp:coreProperties>
</file>