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color w:val="000000"/>
          <w:sz w:val="20"/>
          <w:szCs w:val="22"/>
        </w:rPr>
        <w:id w:val="-2032638790"/>
        <w:docPartObj>
          <w:docPartGallery w:val="Table of Contents"/>
          <w:docPartUnique/>
        </w:docPartObj>
      </w:sdtPr>
      <w:sdtEndPr>
        <w:rPr>
          <w:b/>
          <w:bCs/>
          <w:noProof/>
        </w:rPr>
      </w:sdtEndPr>
      <w:sdtContent>
        <w:p w:rsidR="00473645" w:rsidRPr="00473645" w:rsidRDefault="000861DB" w:rsidP="00473645">
          <w:pPr>
            <w:pStyle w:val="TOCHeading"/>
            <w:rPr>
              <w:rFonts w:ascii="Times New Roman" w:eastAsia="Times New Roman" w:hAnsi="Times New Roman" w:cs="Times New Roman"/>
              <w:sz w:val="36"/>
              <w:szCs w:val="36"/>
            </w:rPr>
          </w:pPr>
          <w:r>
            <w:rPr>
              <w:rFonts w:ascii="Times New Roman" w:eastAsia="Times New Roman" w:hAnsi="Times New Roman" w:cs="Times New Roman"/>
              <w:sz w:val="36"/>
              <w:szCs w:val="36"/>
            </w:rPr>
            <w:t>NSCA S</w:t>
          </w:r>
          <w:r w:rsidR="00473645" w:rsidRPr="00473645">
            <w:rPr>
              <w:rFonts w:ascii="Times New Roman" w:eastAsia="Times New Roman" w:hAnsi="Times New Roman" w:cs="Times New Roman"/>
              <w:sz w:val="36"/>
              <w:szCs w:val="36"/>
            </w:rPr>
            <w:t>ales Compensation Plan Version B</w:t>
          </w:r>
        </w:p>
        <w:p w:rsidR="00473645" w:rsidRDefault="00473645" w:rsidP="00473645">
          <w:pPr>
            <w:pStyle w:val="TOCHeading"/>
          </w:pPr>
          <w:r>
            <w:t>Contents</w:t>
          </w:r>
        </w:p>
        <w:p w:rsidR="00473645" w:rsidRDefault="00473645" w:rsidP="00473645">
          <w:pPr>
            <w:pStyle w:val="TOC1"/>
            <w:tabs>
              <w:tab w:val="right" w:leader="dot" w:pos="9325"/>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469330835" w:history="1">
            <w:r w:rsidRPr="003627B8">
              <w:rPr>
                <w:rStyle w:val="Hyperlink"/>
                <w:noProof/>
              </w:rPr>
              <w:t>Objective</w:t>
            </w:r>
            <w:r>
              <w:rPr>
                <w:noProof/>
                <w:webHidden/>
              </w:rPr>
              <w:tab/>
            </w:r>
            <w:r>
              <w:rPr>
                <w:noProof/>
                <w:webHidden/>
              </w:rPr>
              <w:fldChar w:fldCharType="begin"/>
            </w:r>
            <w:r>
              <w:rPr>
                <w:noProof/>
                <w:webHidden/>
              </w:rPr>
              <w:instrText xml:space="preserve"> PAGEREF _Toc469330835 \h </w:instrText>
            </w:r>
            <w:r>
              <w:rPr>
                <w:noProof/>
                <w:webHidden/>
              </w:rPr>
            </w:r>
            <w:r>
              <w:rPr>
                <w:noProof/>
                <w:webHidden/>
              </w:rPr>
              <w:fldChar w:fldCharType="separate"/>
            </w:r>
            <w:r>
              <w:rPr>
                <w:noProof/>
                <w:webHidden/>
              </w:rPr>
              <w:t>3</w:t>
            </w:r>
            <w:r>
              <w:rPr>
                <w:noProof/>
                <w:webHidden/>
              </w:rPr>
              <w:fldChar w:fldCharType="end"/>
            </w:r>
          </w:hyperlink>
        </w:p>
        <w:p w:rsidR="00473645" w:rsidRDefault="00473645" w:rsidP="00473645">
          <w:pPr>
            <w:pStyle w:val="TOC1"/>
            <w:tabs>
              <w:tab w:val="right" w:leader="dot" w:pos="9325"/>
            </w:tabs>
            <w:rPr>
              <w:rFonts w:asciiTheme="minorHAnsi" w:eastAsiaTheme="minorEastAsia" w:hAnsiTheme="minorHAnsi" w:cstheme="minorBidi"/>
              <w:noProof/>
              <w:color w:val="auto"/>
              <w:sz w:val="22"/>
            </w:rPr>
          </w:pPr>
          <w:hyperlink w:anchor="_Toc469330836" w:history="1">
            <w:r w:rsidRPr="003627B8">
              <w:rPr>
                <w:rStyle w:val="Hyperlink"/>
                <w:noProof/>
              </w:rPr>
              <w:t>Quota and Metrics</w:t>
            </w:r>
            <w:r>
              <w:rPr>
                <w:noProof/>
                <w:webHidden/>
              </w:rPr>
              <w:tab/>
            </w:r>
            <w:r>
              <w:rPr>
                <w:noProof/>
                <w:webHidden/>
              </w:rPr>
              <w:fldChar w:fldCharType="begin"/>
            </w:r>
            <w:r>
              <w:rPr>
                <w:noProof/>
                <w:webHidden/>
              </w:rPr>
              <w:instrText xml:space="preserve"> PAGEREF _Toc469330836 \h </w:instrText>
            </w:r>
            <w:r>
              <w:rPr>
                <w:noProof/>
                <w:webHidden/>
              </w:rPr>
            </w:r>
            <w:r>
              <w:rPr>
                <w:noProof/>
                <w:webHidden/>
              </w:rPr>
              <w:fldChar w:fldCharType="separate"/>
            </w:r>
            <w:r>
              <w:rPr>
                <w:noProof/>
                <w:webHidden/>
              </w:rPr>
              <w:t>3</w:t>
            </w:r>
            <w:r>
              <w:rPr>
                <w:noProof/>
                <w:webHidden/>
              </w:rPr>
              <w:fldChar w:fldCharType="end"/>
            </w:r>
          </w:hyperlink>
        </w:p>
        <w:p w:rsidR="00473645" w:rsidRDefault="00473645" w:rsidP="00473645">
          <w:pPr>
            <w:pStyle w:val="TOC1"/>
            <w:tabs>
              <w:tab w:val="right" w:leader="dot" w:pos="9325"/>
            </w:tabs>
            <w:rPr>
              <w:rFonts w:asciiTheme="minorHAnsi" w:eastAsiaTheme="minorEastAsia" w:hAnsiTheme="minorHAnsi" w:cstheme="minorBidi"/>
              <w:noProof/>
              <w:color w:val="auto"/>
              <w:sz w:val="22"/>
            </w:rPr>
          </w:pPr>
          <w:hyperlink w:anchor="_Toc469330837" w:history="1">
            <w:r w:rsidRPr="003627B8">
              <w:rPr>
                <w:rStyle w:val="Hyperlink"/>
                <w:noProof/>
              </w:rPr>
              <w:t>Compensation</w:t>
            </w:r>
            <w:r>
              <w:rPr>
                <w:noProof/>
                <w:webHidden/>
              </w:rPr>
              <w:tab/>
            </w:r>
            <w:r>
              <w:rPr>
                <w:noProof/>
                <w:webHidden/>
              </w:rPr>
              <w:fldChar w:fldCharType="begin"/>
            </w:r>
            <w:r>
              <w:rPr>
                <w:noProof/>
                <w:webHidden/>
              </w:rPr>
              <w:instrText xml:space="preserve"> PAGEREF _Toc469330837 \h </w:instrText>
            </w:r>
            <w:r>
              <w:rPr>
                <w:noProof/>
                <w:webHidden/>
              </w:rPr>
            </w:r>
            <w:r>
              <w:rPr>
                <w:noProof/>
                <w:webHidden/>
              </w:rPr>
              <w:fldChar w:fldCharType="separate"/>
            </w:r>
            <w:r>
              <w:rPr>
                <w:noProof/>
                <w:webHidden/>
              </w:rPr>
              <w:t>3</w:t>
            </w:r>
            <w:r>
              <w:rPr>
                <w:noProof/>
                <w:webHidden/>
              </w:rPr>
              <w:fldChar w:fldCharType="end"/>
            </w:r>
          </w:hyperlink>
        </w:p>
        <w:p w:rsidR="00473645" w:rsidRDefault="00473645" w:rsidP="00473645">
          <w:pPr>
            <w:pStyle w:val="TOC1"/>
            <w:tabs>
              <w:tab w:val="right" w:leader="dot" w:pos="9325"/>
            </w:tabs>
            <w:rPr>
              <w:rFonts w:asciiTheme="minorHAnsi" w:eastAsiaTheme="minorEastAsia" w:hAnsiTheme="minorHAnsi" w:cstheme="minorBidi"/>
              <w:noProof/>
              <w:color w:val="auto"/>
              <w:sz w:val="22"/>
            </w:rPr>
          </w:pPr>
          <w:hyperlink w:anchor="_Toc469330838" w:history="1">
            <w:r w:rsidRPr="003627B8">
              <w:rPr>
                <w:rStyle w:val="Hyperlink"/>
                <w:noProof/>
              </w:rPr>
              <w:t>Commission Rates</w:t>
            </w:r>
            <w:r>
              <w:rPr>
                <w:noProof/>
                <w:webHidden/>
              </w:rPr>
              <w:tab/>
            </w:r>
            <w:r>
              <w:rPr>
                <w:noProof/>
                <w:webHidden/>
              </w:rPr>
              <w:fldChar w:fldCharType="begin"/>
            </w:r>
            <w:r>
              <w:rPr>
                <w:noProof/>
                <w:webHidden/>
              </w:rPr>
              <w:instrText xml:space="preserve"> PAGEREF _Toc469330838 \h </w:instrText>
            </w:r>
            <w:r>
              <w:rPr>
                <w:noProof/>
                <w:webHidden/>
              </w:rPr>
            </w:r>
            <w:r>
              <w:rPr>
                <w:noProof/>
                <w:webHidden/>
              </w:rPr>
              <w:fldChar w:fldCharType="separate"/>
            </w:r>
            <w:r>
              <w:rPr>
                <w:noProof/>
                <w:webHidden/>
              </w:rPr>
              <w:t>3</w:t>
            </w:r>
            <w:r>
              <w:rPr>
                <w:noProof/>
                <w:webHidden/>
              </w:rPr>
              <w:fldChar w:fldCharType="end"/>
            </w:r>
          </w:hyperlink>
        </w:p>
        <w:p w:rsidR="00473645" w:rsidRDefault="00473645" w:rsidP="00473645">
          <w:pPr>
            <w:pStyle w:val="TOC2"/>
            <w:tabs>
              <w:tab w:val="right" w:leader="dot" w:pos="9325"/>
            </w:tabs>
            <w:rPr>
              <w:rFonts w:asciiTheme="minorHAnsi" w:eastAsiaTheme="minorEastAsia" w:hAnsiTheme="minorHAnsi" w:cstheme="minorBidi"/>
              <w:noProof/>
              <w:color w:val="auto"/>
              <w:sz w:val="22"/>
            </w:rPr>
          </w:pPr>
          <w:hyperlink w:anchor="_Toc469330839" w:history="1">
            <w:r w:rsidRPr="003627B8">
              <w:rPr>
                <w:rStyle w:val="Hyperlink"/>
                <w:noProof/>
              </w:rPr>
              <w:t>Project &amp; Professional Services Labor Commissions</w:t>
            </w:r>
            <w:r>
              <w:rPr>
                <w:noProof/>
                <w:webHidden/>
              </w:rPr>
              <w:tab/>
            </w:r>
            <w:r>
              <w:rPr>
                <w:noProof/>
                <w:webHidden/>
              </w:rPr>
              <w:fldChar w:fldCharType="begin"/>
            </w:r>
            <w:r>
              <w:rPr>
                <w:noProof/>
                <w:webHidden/>
              </w:rPr>
              <w:instrText xml:space="preserve"> PAGEREF _Toc469330839 \h </w:instrText>
            </w:r>
            <w:r>
              <w:rPr>
                <w:noProof/>
                <w:webHidden/>
              </w:rPr>
            </w:r>
            <w:r>
              <w:rPr>
                <w:noProof/>
                <w:webHidden/>
              </w:rPr>
              <w:fldChar w:fldCharType="separate"/>
            </w:r>
            <w:r>
              <w:rPr>
                <w:noProof/>
                <w:webHidden/>
              </w:rPr>
              <w:t>3</w:t>
            </w:r>
            <w:r>
              <w:rPr>
                <w:noProof/>
                <w:webHidden/>
              </w:rPr>
              <w:fldChar w:fldCharType="end"/>
            </w:r>
          </w:hyperlink>
        </w:p>
        <w:p w:rsidR="00473645" w:rsidRDefault="00473645" w:rsidP="00473645">
          <w:pPr>
            <w:pStyle w:val="TOC2"/>
            <w:tabs>
              <w:tab w:val="right" w:leader="dot" w:pos="9325"/>
            </w:tabs>
            <w:rPr>
              <w:rFonts w:asciiTheme="minorHAnsi" w:eastAsiaTheme="minorEastAsia" w:hAnsiTheme="minorHAnsi" w:cstheme="minorBidi"/>
              <w:noProof/>
              <w:color w:val="auto"/>
              <w:sz w:val="22"/>
            </w:rPr>
          </w:pPr>
          <w:hyperlink w:anchor="_Toc469330840" w:history="1">
            <w:r w:rsidRPr="003627B8">
              <w:rPr>
                <w:rStyle w:val="Hyperlink"/>
                <w:noProof/>
              </w:rPr>
              <w:t>Recurring Revenue Service Commissions</w:t>
            </w:r>
            <w:r>
              <w:rPr>
                <w:noProof/>
                <w:webHidden/>
              </w:rPr>
              <w:tab/>
            </w:r>
            <w:r>
              <w:rPr>
                <w:noProof/>
                <w:webHidden/>
              </w:rPr>
              <w:fldChar w:fldCharType="begin"/>
            </w:r>
            <w:r>
              <w:rPr>
                <w:noProof/>
                <w:webHidden/>
              </w:rPr>
              <w:instrText xml:space="preserve"> PAGEREF _Toc469330840 \h </w:instrText>
            </w:r>
            <w:r>
              <w:rPr>
                <w:noProof/>
                <w:webHidden/>
              </w:rPr>
            </w:r>
            <w:r>
              <w:rPr>
                <w:noProof/>
                <w:webHidden/>
              </w:rPr>
              <w:fldChar w:fldCharType="separate"/>
            </w:r>
            <w:r>
              <w:rPr>
                <w:noProof/>
                <w:webHidden/>
              </w:rPr>
              <w:t>4</w:t>
            </w:r>
            <w:r>
              <w:rPr>
                <w:noProof/>
                <w:webHidden/>
              </w:rPr>
              <w:fldChar w:fldCharType="end"/>
            </w:r>
          </w:hyperlink>
        </w:p>
        <w:p w:rsidR="00473645" w:rsidRDefault="00473645" w:rsidP="00473645">
          <w:pPr>
            <w:pStyle w:val="TOC1"/>
            <w:tabs>
              <w:tab w:val="right" w:leader="dot" w:pos="9325"/>
            </w:tabs>
            <w:rPr>
              <w:rFonts w:asciiTheme="minorHAnsi" w:eastAsiaTheme="minorEastAsia" w:hAnsiTheme="minorHAnsi" w:cstheme="minorBidi"/>
              <w:noProof/>
              <w:color w:val="auto"/>
              <w:sz w:val="22"/>
            </w:rPr>
          </w:pPr>
          <w:hyperlink w:anchor="_Toc469330841" w:history="1">
            <w:r w:rsidRPr="003627B8">
              <w:rPr>
                <w:rStyle w:val="Hyperlink"/>
                <w:noProof/>
              </w:rPr>
              <w:t>Payment Method and Schedule</w:t>
            </w:r>
            <w:r>
              <w:rPr>
                <w:noProof/>
                <w:webHidden/>
              </w:rPr>
              <w:tab/>
            </w:r>
            <w:r>
              <w:rPr>
                <w:noProof/>
                <w:webHidden/>
              </w:rPr>
              <w:fldChar w:fldCharType="begin"/>
            </w:r>
            <w:r>
              <w:rPr>
                <w:noProof/>
                <w:webHidden/>
              </w:rPr>
              <w:instrText xml:space="preserve"> PAGEREF _Toc469330841 \h </w:instrText>
            </w:r>
            <w:r>
              <w:rPr>
                <w:noProof/>
                <w:webHidden/>
              </w:rPr>
            </w:r>
            <w:r>
              <w:rPr>
                <w:noProof/>
                <w:webHidden/>
              </w:rPr>
              <w:fldChar w:fldCharType="separate"/>
            </w:r>
            <w:r>
              <w:rPr>
                <w:noProof/>
                <w:webHidden/>
              </w:rPr>
              <w:t>4</w:t>
            </w:r>
            <w:r>
              <w:rPr>
                <w:noProof/>
                <w:webHidden/>
              </w:rPr>
              <w:fldChar w:fldCharType="end"/>
            </w:r>
          </w:hyperlink>
        </w:p>
        <w:p w:rsidR="00473645" w:rsidRDefault="00473645" w:rsidP="00473645">
          <w:pPr>
            <w:pStyle w:val="TOC1"/>
            <w:tabs>
              <w:tab w:val="right" w:leader="dot" w:pos="9325"/>
            </w:tabs>
            <w:rPr>
              <w:rFonts w:asciiTheme="minorHAnsi" w:eastAsiaTheme="minorEastAsia" w:hAnsiTheme="minorHAnsi" w:cstheme="minorBidi"/>
              <w:noProof/>
              <w:color w:val="auto"/>
              <w:sz w:val="22"/>
            </w:rPr>
          </w:pPr>
          <w:hyperlink w:anchor="_Toc469330842" w:history="1">
            <w:r w:rsidRPr="003627B8">
              <w:rPr>
                <w:rStyle w:val="Hyperlink"/>
                <w:noProof/>
              </w:rPr>
              <w:t>Conditions and Responsibilities</w:t>
            </w:r>
            <w:r>
              <w:rPr>
                <w:noProof/>
                <w:webHidden/>
              </w:rPr>
              <w:tab/>
            </w:r>
            <w:r>
              <w:rPr>
                <w:noProof/>
                <w:webHidden/>
              </w:rPr>
              <w:fldChar w:fldCharType="begin"/>
            </w:r>
            <w:r>
              <w:rPr>
                <w:noProof/>
                <w:webHidden/>
              </w:rPr>
              <w:instrText xml:space="preserve"> PAGEREF _Toc469330842 \h </w:instrText>
            </w:r>
            <w:r>
              <w:rPr>
                <w:noProof/>
                <w:webHidden/>
              </w:rPr>
            </w:r>
            <w:r>
              <w:rPr>
                <w:noProof/>
                <w:webHidden/>
              </w:rPr>
              <w:fldChar w:fldCharType="separate"/>
            </w:r>
            <w:r>
              <w:rPr>
                <w:noProof/>
                <w:webHidden/>
              </w:rPr>
              <w:t>4</w:t>
            </w:r>
            <w:r>
              <w:rPr>
                <w:noProof/>
                <w:webHidden/>
              </w:rPr>
              <w:fldChar w:fldCharType="end"/>
            </w:r>
          </w:hyperlink>
        </w:p>
        <w:p w:rsidR="00473645" w:rsidRDefault="00473645" w:rsidP="00473645">
          <w:pPr>
            <w:pStyle w:val="TOC1"/>
            <w:tabs>
              <w:tab w:val="right" w:leader="dot" w:pos="9325"/>
            </w:tabs>
            <w:rPr>
              <w:rFonts w:asciiTheme="minorHAnsi" w:eastAsiaTheme="minorEastAsia" w:hAnsiTheme="minorHAnsi" w:cstheme="minorBidi"/>
              <w:noProof/>
              <w:color w:val="auto"/>
              <w:sz w:val="22"/>
            </w:rPr>
          </w:pPr>
          <w:hyperlink w:anchor="_Toc469330843" w:history="1">
            <w:r w:rsidRPr="003627B8">
              <w:rPr>
                <w:rStyle w:val="Hyperlink"/>
                <w:noProof/>
              </w:rPr>
              <w:t>Non-Competition and Non-Disclosure</w:t>
            </w:r>
            <w:r>
              <w:rPr>
                <w:noProof/>
                <w:webHidden/>
              </w:rPr>
              <w:tab/>
            </w:r>
            <w:r>
              <w:rPr>
                <w:noProof/>
                <w:webHidden/>
              </w:rPr>
              <w:fldChar w:fldCharType="begin"/>
            </w:r>
            <w:r>
              <w:rPr>
                <w:noProof/>
                <w:webHidden/>
              </w:rPr>
              <w:instrText xml:space="preserve"> PAGEREF _Toc469330843 \h </w:instrText>
            </w:r>
            <w:r>
              <w:rPr>
                <w:noProof/>
                <w:webHidden/>
              </w:rPr>
            </w:r>
            <w:r>
              <w:rPr>
                <w:noProof/>
                <w:webHidden/>
              </w:rPr>
              <w:fldChar w:fldCharType="separate"/>
            </w:r>
            <w:r>
              <w:rPr>
                <w:noProof/>
                <w:webHidden/>
              </w:rPr>
              <w:t>4</w:t>
            </w:r>
            <w:r>
              <w:rPr>
                <w:noProof/>
                <w:webHidden/>
              </w:rPr>
              <w:fldChar w:fldCharType="end"/>
            </w:r>
          </w:hyperlink>
        </w:p>
        <w:p w:rsidR="00473645" w:rsidRDefault="00473645" w:rsidP="00473645">
          <w:pPr>
            <w:pStyle w:val="TOC1"/>
            <w:tabs>
              <w:tab w:val="right" w:leader="dot" w:pos="9325"/>
            </w:tabs>
            <w:rPr>
              <w:rFonts w:asciiTheme="minorHAnsi" w:eastAsiaTheme="minorEastAsia" w:hAnsiTheme="minorHAnsi" w:cstheme="minorBidi"/>
              <w:noProof/>
              <w:color w:val="auto"/>
              <w:sz w:val="22"/>
            </w:rPr>
          </w:pPr>
          <w:hyperlink w:anchor="_Toc469330844" w:history="1">
            <w:r w:rsidRPr="003627B8">
              <w:rPr>
                <w:rStyle w:val="Hyperlink"/>
                <w:noProof/>
              </w:rPr>
              <w:t>Miscellaneous Considerations</w:t>
            </w:r>
            <w:r>
              <w:rPr>
                <w:noProof/>
                <w:webHidden/>
              </w:rPr>
              <w:tab/>
            </w:r>
            <w:r>
              <w:rPr>
                <w:noProof/>
                <w:webHidden/>
              </w:rPr>
              <w:fldChar w:fldCharType="begin"/>
            </w:r>
            <w:r>
              <w:rPr>
                <w:noProof/>
                <w:webHidden/>
              </w:rPr>
              <w:instrText xml:space="preserve"> PAGEREF _Toc469330844 \h </w:instrText>
            </w:r>
            <w:r>
              <w:rPr>
                <w:noProof/>
                <w:webHidden/>
              </w:rPr>
            </w:r>
            <w:r>
              <w:rPr>
                <w:noProof/>
                <w:webHidden/>
              </w:rPr>
              <w:fldChar w:fldCharType="separate"/>
            </w:r>
            <w:r>
              <w:rPr>
                <w:noProof/>
                <w:webHidden/>
              </w:rPr>
              <w:t>5</w:t>
            </w:r>
            <w:r>
              <w:rPr>
                <w:noProof/>
                <w:webHidden/>
              </w:rPr>
              <w:fldChar w:fldCharType="end"/>
            </w:r>
          </w:hyperlink>
        </w:p>
        <w:p w:rsidR="00473645" w:rsidRDefault="00473645" w:rsidP="00473645">
          <w:pPr>
            <w:pStyle w:val="TOC1"/>
            <w:tabs>
              <w:tab w:val="right" w:leader="dot" w:pos="9325"/>
            </w:tabs>
            <w:rPr>
              <w:rFonts w:asciiTheme="minorHAnsi" w:eastAsiaTheme="minorEastAsia" w:hAnsiTheme="minorHAnsi" w:cstheme="minorBidi"/>
              <w:noProof/>
              <w:color w:val="auto"/>
              <w:sz w:val="22"/>
            </w:rPr>
          </w:pPr>
          <w:hyperlink w:anchor="_Toc469330845" w:history="1">
            <w:r w:rsidRPr="003627B8">
              <w:rPr>
                <w:rStyle w:val="Hyperlink"/>
                <w:noProof/>
              </w:rPr>
              <w:t>Sales Compensation Plan Acknowledgement and Execution</w:t>
            </w:r>
            <w:r>
              <w:rPr>
                <w:noProof/>
                <w:webHidden/>
              </w:rPr>
              <w:tab/>
            </w:r>
            <w:r>
              <w:rPr>
                <w:noProof/>
                <w:webHidden/>
              </w:rPr>
              <w:fldChar w:fldCharType="begin"/>
            </w:r>
            <w:r>
              <w:rPr>
                <w:noProof/>
                <w:webHidden/>
              </w:rPr>
              <w:instrText xml:space="preserve"> PAGEREF _Toc469330845 \h </w:instrText>
            </w:r>
            <w:r>
              <w:rPr>
                <w:noProof/>
                <w:webHidden/>
              </w:rPr>
            </w:r>
            <w:r>
              <w:rPr>
                <w:noProof/>
                <w:webHidden/>
              </w:rPr>
              <w:fldChar w:fldCharType="separate"/>
            </w:r>
            <w:r>
              <w:rPr>
                <w:noProof/>
                <w:webHidden/>
              </w:rPr>
              <w:t>6</w:t>
            </w:r>
            <w:r>
              <w:rPr>
                <w:noProof/>
                <w:webHidden/>
              </w:rPr>
              <w:fldChar w:fldCharType="end"/>
            </w:r>
          </w:hyperlink>
        </w:p>
        <w:p w:rsidR="00473645" w:rsidRDefault="00473645" w:rsidP="00473645">
          <w:pPr>
            <w:pStyle w:val="TOC1"/>
            <w:tabs>
              <w:tab w:val="right" w:leader="dot" w:pos="9325"/>
            </w:tabs>
            <w:rPr>
              <w:rFonts w:asciiTheme="minorHAnsi" w:eastAsiaTheme="minorEastAsia" w:hAnsiTheme="minorHAnsi" w:cstheme="minorBidi"/>
              <w:noProof/>
              <w:color w:val="auto"/>
              <w:sz w:val="22"/>
            </w:rPr>
          </w:pPr>
          <w:hyperlink w:anchor="_Toc469330846" w:history="1">
            <w:r w:rsidRPr="003627B8">
              <w:rPr>
                <w:rStyle w:val="Hyperlink"/>
                <w:noProof/>
              </w:rPr>
              <w:t>Attachment A – Territory and Quota</w:t>
            </w:r>
            <w:r>
              <w:rPr>
                <w:noProof/>
                <w:webHidden/>
              </w:rPr>
              <w:tab/>
            </w:r>
            <w:r>
              <w:rPr>
                <w:noProof/>
                <w:webHidden/>
              </w:rPr>
              <w:fldChar w:fldCharType="begin"/>
            </w:r>
            <w:r>
              <w:rPr>
                <w:noProof/>
                <w:webHidden/>
              </w:rPr>
              <w:instrText xml:space="preserve"> PAGEREF _Toc469330846 \h </w:instrText>
            </w:r>
            <w:r>
              <w:rPr>
                <w:noProof/>
                <w:webHidden/>
              </w:rPr>
            </w:r>
            <w:r>
              <w:rPr>
                <w:noProof/>
                <w:webHidden/>
              </w:rPr>
              <w:fldChar w:fldCharType="separate"/>
            </w:r>
            <w:r>
              <w:rPr>
                <w:noProof/>
                <w:webHidden/>
              </w:rPr>
              <w:t>7</w:t>
            </w:r>
            <w:r>
              <w:rPr>
                <w:noProof/>
                <w:webHidden/>
              </w:rPr>
              <w:fldChar w:fldCharType="end"/>
            </w:r>
          </w:hyperlink>
        </w:p>
        <w:p w:rsidR="00473645" w:rsidRDefault="00473645" w:rsidP="00473645">
          <w:pPr>
            <w:pStyle w:val="TOC2"/>
            <w:tabs>
              <w:tab w:val="right" w:leader="dot" w:pos="9325"/>
            </w:tabs>
            <w:rPr>
              <w:rFonts w:asciiTheme="minorHAnsi" w:eastAsiaTheme="minorEastAsia" w:hAnsiTheme="minorHAnsi" w:cstheme="minorBidi"/>
              <w:noProof/>
              <w:color w:val="auto"/>
              <w:sz w:val="22"/>
            </w:rPr>
          </w:pPr>
          <w:hyperlink w:anchor="_Toc469330847" w:history="1">
            <w:r w:rsidRPr="003627B8">
              <w:rPr>
                <w:rStyle w:val="Hyperlink"/>
                <w:noProof/>
              </w:rPr>
              <w:t>Territory</w:t>
            </w:r>
            <w:r>
              <w:rPr>
                <w:noProof/>
                <w:webHidden/>
              </w:rPr>
              <w:tab/>
            </w:r>
            <w:r>
              <w:rPr>
                <w:noProof/>
                <w:webHidden/>
              </w:rPr>
              <w:fldChar w:fldCharType="begin"/>
            </w:r>
            <w:r>
              <w:rPr>
                <w:noProof/>
                <w:webHidden/>
              </w:rPr>
              <w:instrText xml:space="preserve"> PAGEREF _Toc469330847 \h </w:instrText>
            </w:r>
            <w:r>
              <w:rPr>
                <w:noProof/>
                <w:webHidden/>
              </w:rPr>
            </w:r>
            <w:r>
              <w:rPr>
                <w:noProof/>
                <w:webHidden/>
              </w:rPr>
              <w:fldChar w:fldCharType="separate"/>
            </w:r>
            <w:r>
              <w:rPr>
                <w:noProof/>
                <w:webHidden/>
              </w:rPr>
              <w:t>7</w:t>
            </w:r>
            <w:r>
              <w:rPr>
                <w:noProof/>
                <w:webHidden/>
              </w:rPr>
              <w:fldChar w:fldCharType="end"/>
            </w:r>
          </w:hyperlink>
        </w:p>
        <w:p w:rsidR="00473645" w:rsidRDefault="00473645" w:rsidP="00473645">
          <w:pPr>
            <w:pStyle w:val="TOC2"/>
            <w:tabs>
              <w:tab w:val="right" w:leader="dot" w:pos="9325"/>
            </w:tabs>
            <w:rPr>
              <w:rFonts w:asciiTheme="minorHAnsi" w:eastAsiaTheme="minorEastAsia" w:hAnsiTheme="minorHAnsi" w:cstheme="minorBidi"/>
              <w:noProof/>
              <w:color w:val="auto"/>
              <w:sz w:val="22"/>
            </w:rPr>
          </w:pPr>
          <w:hyperlink w:anchor="_Toc469330848" w:history="1">
            <w:r w:rsidRPr="003627B8">
              <w:rPr>
                <w:rStyle w:val="Hyperlink"/>
                <w:noProof/>
              </w:rPr>
              <w:t>Quota</w:t>
            </w:r>
            <w:r>
              <w:rPr>
                <w:noProof/>
                <w:webHidden/>
              </w:rPr>
              <w:tab/>
            </w:r>
            <w:r>
              <w:rPr>
                <w:noProof/>
                <w:webHidden/>
              </w:rPr>
              <w:fldChar w:fldCharType="begin"/>
            </w:r>
            <w:r>
              <w:rPr>
                <w:noProof/>
                <w:webHidden/>
              </w:rPr>
              <w:instrText xml:space="preserve"> PAGEREF _Toc469330848 \h </w:instrText>
            </w:r>
            <w:r>
              <w:rPr>
                <w:noProof/>
                <w:webHidden/>
              </w:rPr>
            </w:r>
            <w:r>
              <w:rPr>
                <w:noProof/>
                <w:webHidden/>
              </w:rPr>
              <w:fldChar w:fldCharType="separate"/>
            </w:r>
            <w:r>
              <w:rPr>
                <w:noProof/>
                <w:webHidden/>
              </w:rPr>
              <w:t>7</w:t>
            </w:r>
            <w:r>
              <w:rPr>
                <w:noProof/>
                <w:webHidden/>
              </w:rPr>
              <w:fldChar w:fldCharType="end"/>
            </w:r>
          </w:hyperlink>
        </w:p>
        <w:p w:rsidR="00473645" w:rsidRDefault="00473645" w:rsidP="00473645">
          <w:r>
            <w:rPr>
              <w:b/>
              <w:bCs/>
              <w:noProof/>
            </w:rPr>
            <w:fldChar w:fldCharType="end"/>
          </w:r>
        </w:p>
      </w:sdtContent>
    </w:sdt>
    <w:p w:rsidR="00473645" w:rsidRDefault="00473645" w:rsidP="00473645">
      <w:pPr>
        <w:spacing w:after="160" w:line="259" w:lineRule="auto"/>
        <w:ind w:left="0" w:firstLine="0"/>
        <w:sectPr w:rsidR="00473645" w:rsidSect="00264B49">
          <w:headerReference w:type="even" r:id="rId8"/>
          <w:footerReference w:type="even" r:id="rId9"/>
          <w:headerReference w:type="first" r:id="rId10"/>
          <w:footerReference w:type="first" r:id="rId11"/>
          <w:pgSz w:w="12240" w:h="15840"/>
          <w:pgMar w:top="861" w:right="1465" w:bottom="1792" w:left="1440" w:header="720" w:footer="720" w:gutter="0"/>
          <w:cols w:space="720"/>
          <w:docGrid w:linePitch="272"/>
        </w:sectPr>
      </w:pPr>
      <w:bookmarkStart w:id="0" w:name="_GoBack"/>
      <w:bookmarkEnd w:id="0"/>
    </w:p>
    <w:p w:rsidR="00473645" w:rsidRDefault="00473645" w:rsidP="00473645">
      <w:pPr>
        <w:pStyle w:val="Heading1"/>
        <w:spacing w:before="240" w:after="240"/>
        <w:ind w:left="-5"/>
        <w:contextualSpacing/>
      </w:pPr>
      <w:bookmarkStart w:id="1" w:name="_Toc469330835"/>
      <w:r>
        <w:lastRenderedPageBreak/>
        <w:t>Objective</w:t>
      </w:r>
      <w:bookmarkEnd w:id="1"/>
    </w:p>
    <w:p w:rsidR="00473645" w:rsidRDefault="00473645" w:rsidP="00473645">
      <w:pPr>
        <w:spacing w:before="240" w:after="240"/>
        <w:contextualSpacing/>
      </w:pPr>
      <w:r>
        <w:t xml:space="preserve">The objective of this compensation plan is to reward activity that achieves profitable sales and long term growth for </w:t>
      </w:r>
      <w:r>
        <w:t>XYZ</w:t>
      </w:r>
      <w:r>
        <w:t>.  Growth both for the seller and the company will be achieved by focusing on the cultivation of new business in both new and existing accounts.</w:t>
      </w:r>
    </w:p>
    <w:p w:rsidR="00473645" w:rsidRDefault="00473645" w:rsidP="00473645">
      <w:pPr>
        <w:pStyle w:val="Heading1"/>
        <w:spacing w:before="240" w:after="240"/>
        <w:contextualSpacing/>
      </w:pPr>
      <w:bookmarkStart w:id="2" w:name="_Toc469330836"/>
      <w:r>
        <w:t>Quota and Metrics</w:t>
      </w:r>
      <w:bookmarkEnd w:id="2"/>
    </w:p>
    <w:p w:rsidR="00473645" w:rsidRDefault="00473645" w:rsidP="00473645">
      <w:pPr>
        <w:spacing w:before="240" w:after="240"/>
        <w:contextualSpacing/>
      </w:pPr>
      <w:r>
        <w:t xml:space="preserve">Sales personnel will be assigned an annual gross profit quota.  The annual gross profit (GP) quota is established based on experience, assigned accounts and vertical markets.  Quota attainment is based on production during the period of January 1 – December 31 and is established at the beginning of the year.  </w:t>
      </w:r>
    </w:p>
    <w:p w:rsidR="00473645" w:rsidRDefault="00473645" w:rsidP="00473645">
      <w:pPr>
        <w:spacing w:before="240" w:after="240"/>
        <w:contextualSpacing/>
      </w:pPr>
    </w:p>
    <w:p w:rsidR="00473645" w:rsidRDefault="00473645" w:rsidP="00473645">
      <w:pPr>
        <w:spacing w:before="240" w:after="240"/>
        <w:contextualSpacing/>
      </w:pPr>
      <w:r>
        <w:t>XYZ</w:t>
      </w:r>
      <w:r>
        <w:t xml:space="preserve"> strives to provide all necessary tools and resources to enable sellers to reach and exceed established quotas.  It is expected that every effort will be made by the seller to achieve the established gross profit quota.  </w:t>
      </w:r>
    </w:p>
    <w:p w:rsidR="00473645" w:rsidRDefault="00473645" w:rsidP="00473645">
      <w:pPr>
        <w:spacing w:before="240" w:after="240"/>
        <w:contextualSpacing/>
      </w:pPr>
    </w:p>
    <w:p w:rsidR="00473645" w:rsidRDefault="00473645" w:rsidP="00473645">
      <w:pPr>
        <w:spacing w:before="240" w:after="240"/>
        <w:contextualSpacing/>
      </w:pPr>
      <w:r>
        <w:t xml:space="preserve">Key performance indicators (KPI) will be monitored, shared and reviewed weekly.  KPI’s </w:t>
      </w:r>
      <w:proofErr w:type="gramStart"/>
      <w:r>
        <w:t>include</w:t>
      </w:r>
      <w:proofErr w:type="gramEnd"/>
      <w:r>
        <w:t xml:space="preserve"> (but are not limited to):  </w:t>
      </w:r>
    </w:p>
    <w:p w:rsidR="00473645" w:rsidRDefault="00473645" w:rsidP="00473645">
      <w:pPr>
        <w:pStyle w:val="ListParagraph"/>
        <w:numPr>
          <w:ilvl w:val="0"/>
          <w:numId w:val="1"/>
        </w:numPr>
        <w:spacing w:before="240" w:after="240"/>
      </w:pPr>
      <w:r>
        <w:t>Sales Bookings Actuals (GP$ and as a percentage of quota)</w:t>
      </w:r>
    </w:p>
    <w:p w:rsidR="00473645" w:rsidRDefault="00473645" w:rsidP="00473645">
      <w:pPr>
        <w:pStyle w:val="ListParagraph"/>
        <w:numPr>
          <w:ilvl w:val="0"/>
          <w:numId w:val="1"/>
        </w:numPr>
        <w:spacing w:before="240" w:after="240"/>
      </w:pPr>
      <w:r>
        <w:t>Pipeline (running 90 day)</w:t>
      </w:r>
    </w:p>
    <w:p w:rsidR="00473645" w:rsidRDefault="00473645" w:rsidP="00473645">
      <w:pPr>
        <w:pStyle w:val="ListParagraph"/>
        <w:numPr>
          <w:ilvl w:val="0"/>
          <w:numId w:val="1"/>
        </w:numPr>
        <w:spacing w:before="240" w:after="240"/>
      </w:pPr>
      <w:r>
        <w:t>Forecast (monthly and 90 day)</w:t>
      </w:r>
    </w:p>
    <w:p w:rsidR="00473645" w:rsidRDefault="00473645" w:rsidP="00473645">
      <w:pPr>
        <w:pStyle w:val="ListParagraph"/>
        <w:numPr>
          <w:ilvl w:val="0"/>
          <w:numId w:val="1"/>
        </w:numPr>
        <w:spacing w:before="240" w:after="240"/>
      </w:pPr>
      <w:r>
        <w:t>Activities (calls, meetings, etc.)</w:t>
      </w:r>
    </w:p>
    <w:p w:rsidR="00473645" w:rsidRDefault="00473645" w:rsidP="00473645">
      <w:pPr>
        <w:pStyle w:val="Heading1"/>
        <w:spacing w:before="240" w:after="240"/>
        <w:contextualSpacing/>
      </w:pPr>
      <w:bookmarkStart w:id="3" w:name="_Toc469330837"/>
      <w:r>
        <w:t>Compensation</w:t>
      </w:r>
      <w:bookmarkEnd w:id="3"/>
    </w:p>
    <w:p w:rsidR="00473645" w:rsidRDefault="00473645" w:rsidP="00473645">
      <w:pPr>
        <w:spacing w:before="240" w:after="240"/>
        <w:ind w:firstLine="0"/>
        <w:contextualSpacing/>
      </w:pPr>
      <w:r>
        <w:t xml:space="preserve">Sales personnel will receive a base salary (based on experience and responsibilities) and variable compensation incentives.  Variable compensation consists of commissions and </w:t>
      </w:r>
      <w:r>
        <w:t>XYZ</w:t>
      </w:r>
      <w:r>
        <w:t xml:space="preserve"> annual bonus plan.</w:t>
      </w:r>
    </w:p>
    <w:p w:rsidR="00473645" w:rsidRDefault="00473645" w:rsidP="00473645">
      <w:pPr>
        <w:pStyle w:val="Heading1"/>
        <w:spacing w:before="240" w:after="240"/>
        <w:contextualSpacing/>
      </w:pPr>
      <w:bookmarkStart w:id="4" w:name="_Toc469330838"/>
      <w:r>
        <w:t>Commission Rates</w:t>
      </w:r>
      <w:bookmarkEnd w:id="4"/>
      <w:r>
        <w:t xml:space="preserve"> </w:t>
      </w:r>
    </w:p>
    <w:p w:rsidR="00473645" w:rsidRDefault="00473645" w:rsidP="00473645">
      <w:pPr>
        <w:spacing w:before="240" w:after="240" w:line="257" w:lineRule="auto"/>
        <w:ind w:left="14" w:hanging="14"/>
        <w:contextualSpacing/>
      </w:pPr>
      <w:r>
        <w:t>Commissions are paid for projects (defined as a turnkey solution including equipment and professional services labor)</w:t>
      </w:r>
      <w:proofErr w:type="gramStart"/>
      <w:r>
        <w:t>,</w:t>
      </w:r>
      <w:proofErr w:type="gramEnd"/>
      <w:r>
        <w:t xml:space="preserve"> professional services labor orders as well as for recurring revenue and service orders.  </w:t>
      </w:r>
    </w:p>
    <w:p w:rsidR="00473645" w:rsidRDefault="00473645" w:rsidP="00473645">
      <w:pPr>
        <w:pStyle w:val="Heading2"/>
        <w:spacing w:before="240" w:after="240"/>
        <w:contextualSpacing/>
      </w:pPr>
      <w:bookmarkStart w:id="5" w:name="_Toc469330839"/>
      <w:r>
        <w:t>Project &amp; Professional Services Labor Commissions</w:t>
      </w:r>
      <w:bookmarkEnd w:id="5"/>
    </w:p>
    <w:p w:rsidR="00473645" w:rsidRDefault="00473645" w:rsidP="00473645">
      <w:pPr>
        <w:spacing w:before="240" w:after="240"/>
        <w:contextualSpacing/>
      </w:pPr>
      <w:r>
        <w:t>For projects and labor orders, the commissions are calculated on the estimated gross profit (</w:t>
      </w:r>
      <w:r>
        <w:t>GP</w:t>
      </w:r>
      <w:r>
        <w:t>) at time of booking according to the rate schedule below*:</w:t>
      </w:r>
    </w:p>
    <w:p w:rsidR="00473645" w:rsidRDefault="00473645" w:rsidP="00473645">
      <w:pPr>
        <w:spacing w:before="240" w:after="240"/>
        <w:contextualSpacing/>
      </w:pPr>
    </w:p>
    <w:tbl>
      <w:tblPr>
        <w:tblStyle w:val="GridTableLight"/>
        <w:tblW w:w="0" w:type="auto"/>
        <w:tblInd w:w="1435" w:type="dxa"/>
        <w:tblLook w:val="04A0" w:firstRow="1" w:lastRow="0" w:firstColumn="1" w:lastColumn="0" w:noHBand="0" w:noVBand="1"/>
      </w:tblPr>
      <w:tblGrid>
        <w:gridCol w:w="4320"/>
        <w:gridCol w:w="2157"/>
      </w:tblGrid>
      <w:tr w:rsidR="00473645" w:rsidTr="009B1B15">
        <w:tc>
          <w:tcPr>
            <w:tcW w:w="4320" w:type="dxa"/>
          </w:tcPr>
          <w:p w:rsidR="00473645" w:rsidRDefault="00473645" w:rsidP="00473645">
            <w:pPr>
              <w:spacing w:before="240" w:after="240" w:line="257" w:lineRule="auto"/>
              <w:ind w:left="0" w:firstLine="0"/>
              <w:contextualSpacing/>
            </w:pPr>
            <w:r>
              <w:t xml:space="preserve">Projects </w:t>
            </w:r>
            <w:r w:rsidRPr="001B7F24">
              <w:t>&lt;</w:t>
            </w:r>
            <w:r>
              <w:t>100</w:t>
            </w:r>
            <w:r>
              <w:t>% of Quota</w:t>
            </w:r>
          </w:p>
        </w:tc>
        <w:tc>
          <w:tcPr>
            <w:tcW w:w="2157" w:type="dxa"/>
          </w:tcPr>
          <w:p w:rsidR="00473645" w:rsidRDefault="00473645" w:rsidP="00473645">
            <w:pPr>
              <w:tabs>
                <w:tab w:val="decimal" w:pos="1220"/>
              </w:tabs>
              <w:spacing w:before="240" w:after="240" w:line="257" w:lineRule="auto"/>
              <w:ind w:left="0" w:firstLine="0"/>
              <w:contextualSpacing/>
              <w:jc w:val="both"/>
            </w:pPr>
            <w:r>
              <w:t>8%</w:t>
            </w:r>
          </w:p>
        </w:tc>
      </w:tr>
      <w:tr w:rsidR="00473645" w:rsidTr="009B1B15">
        <w:tc>
          <w:tcPr>
            <w:tcW w:w="4320" w:type="dxa"/>
          </w:tcPr>
          <w:p w:rsidR="00473645" w:rsidRDefault="00473645" w:rsidP="00473645">
            <w:pPr>
              <w:spacing w:before="240" w:after="240" w:line="257" w:lineRule="auto"/>
              <w:ind w:left="0" w:firstLine="0"/>
              <w:contextualSpacing/>
            </w:pPr>
            <w:r>
              <w:t>Projects &gt;</w:t>
            </w:r>
            <w:r>
              <w:t>100</w:t>
            </w:r>
            <w:r>
              <w:t>% of Quota</w:t>
            </w:r>
          </w:p>
        </w:tc>
        <w:tc>
          <w:tcPr>
            <w:tcW w:w="2157" w:type="dxa"/>
          </w:tcPr>
          <w:p w:rsidR="00473645" w:rsidRDefault="00473645" w:rsidP="00473645">
            <w:pPr>
              <w:tabs>
                <w:tab w:val="decimal" w:pos="1220"/>
              </w:tabs>
              <w:spacing w:before="240" w:after="240" w:line="257" w:lineRule="auto"/>
              <w:ind w:left="0" w:firstLine="0"/>
              <w:contextualSpacing/>
              <w:jc w:val="both"/>
            </w:pPr>
            <w:r>
              <w:t>16%</w:t>
            </w:r>
          </w:p>
        </w:tc>
      </w:tr>
    </w:tbl>
    <w:p w:rsidR="00473645" w:rsidRDefault="00473645" w:rsidP="00473645">
      <w:pPr>
        <w:spacing w:before="240" w:after="240"/>
        <w:contextualSpacing/>
      </w:pPr>
    </w:p>
    <w:p w:rsidR="00473645" w:rsidRPr="0040606A" w:rsidRDefault="00473645" w:rsidP="00473645">
      <w:pPr>
        <w:spacing w:before="240" w:after="240"/>
        <w:contextualSpacing/>
        <w:rPr>
          <w:b/>
          <w:i/>
        </w:rPr>
      </w:pPr>
      <w:r w:rsidRPr="0040606A">
        <w:rPr>
          <w:b/>
          <w:i/>
        </w:rPr>
        <w:t>*Notes:</w:t>
      </w:r>
    </w:p>
    <w:p w:rsidR="00473645" w:rsidRPr="00264B49" w:rsidRDefault="00473645" w:rsidP="00473645">
      <w:pPr>
        <w:pStyle w:val="ListParagraph"/>
        <w:numPr>
          <w:ilvl w:val="0"/>
          <w:numId w:val="2"/>
        </w:numPr>
        <w:spacing w:before="240" w:after="240"/>
        <w:rPr>
          <w:b/>
          <w:i/>
          <w:sz w:val="18"/>
        </w:rPr>
      </w:pPr>
      <w:r w:rsidRPr="00264B49">
        <w:rPr>
          <w:b/>
          <w:i/>
          <w:sz w:val="18"/>
        </w:rPr>
        <w:t xml:space="preserve">Commissions are paid </w:t>
      </w:r>
      <w:r>
        <w:rPr>
          <w:b/>
          <w:i/>
          <w:sz w:val="18"/>
        </w:rPr>
        <w:t xml:space="preserve">on </w:t>
      </w:r>
      <w:r>
        <w:rPr>
          <w:b/>
          <w:i/>
          <w:sz w:val="18"/>
        </w:rPr>
        <w:t>GP</w:t>
      </w:r>
      <w:r w:rsidRPr="00264B49">
        <w:rPr>
          <w:b/>
          <w:i/>
          <w:sz w:val="18"/>
        </w:rPr>
        <w:t xml:space="preserve"> margin of </w:t>
      </w:r>
      <w:r>
        <w:rPr>
          <w:b/>
          <w:i/>
          <w:sz w:val="18"/>
        </w:rPr>
        <w:t>3</w:t>
      </w:r>
      <w:r w:rsidRPr="00264B49">
        <w:rPr>
          <w:b/>
          <w:i/>
          <w:sz w:val="18"/>
        </w:rPr>
        <w:t xml:space="preserve">0% or greater (estimated at time of booking).    No commissions will be paid for projects, equipment or labor with less than a </w:t>
      </w:r>
      <w:r>
        <w:rPr>
          <w:b/>
          <w:i/>
          <w:sz w:val="18"/>
        </w:rPr>
        <w:t>3</w:t>
      </w:r>
      <w:r w:rsidRPr="00264B49">
        <w:rPr>
          <w:b/>
          <w:i/>
          <w:sz w:val="18"/>
        </w:rPr>
        <w:t xml:space="preserve">0% </w:t>
      </w:r>
      <w:r>
        <w:rPr>
          <w:b/>
          <w:i/>
          <w:sz w:val="18"/>
        </w:rPr>
        <w:t>GP</w:t>
      </w:r>
      <w:r w:rsidRPr="00264B49">
        <w:rPr>
          <w:b/>
          <w:i/>
          <w:sz w:val="18"/>
        </w:rPr>
        <w:t xml:space="preserve"> margin (estimated at time of booking). </w:t>
      </w:r>
      <w:r>
        <w:rPr>
          <w:b/>
          <w:i/>
          <w:sz w:val="18"/>
        </w:rPr>
        <w:t>Management will consider exceptions on a case by case basis.</w:t>
      </w:r>
    </w:p>
    <w:p w:rsidR="00473645" w:rsidRPr="00264B49" w:rsidRDefault="00473645" w:rsidP="00473645">
      <w:pPr>
        <w:pStyle w:val="ListParagraph"/>
        <w:numPr>
          <w:ilvl w:val="0"/>
          <w:numId w:val="2"/>
        </w:numPr>
        <w:spacing w:before="240" w:after="240"/>
        <w:rPr>
          <w:b/>
          <w:i/>
          <w:sz w:val="18"/>
        </w:rPr>
      </w:pPr>
      <w:r w:rsidRPr="00264B49">
        <w:rPr>
          <w:b/>
          <w:i/>
          <w:sz w:val="18"/>
        </w:rPr>
        <w:t>No commissions are paid for stand-alone equipment/box sales.  Management will consider exceptions on box sales over $5,000.</w:t>
      </w:r>
    </w:p>
    <w:p w:rsidR="00473645" w:rsidRDefault="00473645" w:rsidP="00473645">
      <w:pPr>
        <w:pStyle w:val="ListParagraph"/>
        <w:numPr>
          <w:ilvl w:val="0"/>
          <w:numId w:val="2"/>
        </w:numPr>
        <w:spacing w:before="240" w:after="240" w:line="257" w:lineRule="auto"/>
        <w:rPr>
          <w:b/>
          <w:i/>
          <w:sz w:val="18"/>
        </w:rPr>
      </w:pPr>
      <w:r w:rsidRPr="00264B49">
        <w:rPr>
          <w:b/>
          <w:i/>
          <w:sz w:val="18"/>
        </w:rPr>
        <w:t>No commissions will be paid on change orders (whether positive or negative) unless the change order would otherwise have been set up as a stand-alone project.  Seller must have documented substantial level of support in selling the change order.  Qualification for commissions on change orders will be at the discretion of management.</w:t>
      </w:r>
    </w:p>
    <w:p w:rsidR="000861DB" w:rsidRPr="00264B49" w:rsidRDefault="000861DB" w:rsidP="00473645">
      <w:pPr>
        <w:pStyle w:val="ListParagraph"/>
        <w:numPr>
          <w:ilvl w:val="0"/>
          <w:numId w:val="2"/>
        </w:numPr>
        <w:spacing w:before="240" w:after="240" w:line="257" w:lineRule="auto"/>
        <w:rPr>
          <w:b/>
          <w:i/>
          <w:sz w:val="18"/>
        </w:rPr>
      </w:pPr>
      <w:r>
        <w:rPr>
          <w:b/>
          <w:i/>
          <w:sz w:val="18"/>
        </w:rPr>
        <w:t xml:space="preserve">The NSCA project contribution training simulator and standard Chart of Accounts will be used to calculate GP.    </w:t>
      </w:r>
    </w:p>
    <w:p w:rsidR="00473645" w:rsidRPr="0040606A" w:rsidRDefault="00473645" w:rsidP="00473645">
      <w:pPr>
        <w:pStyle w:val="Heading2"/>
        <w:spacing w:before="240" w:after="240"/>
        <w:contextualSpacing/>
      </w:pPr>
      <w:bookmarkStart w:id="6" w:name="_Toc469330840"/>
      <w:r>
        <w:lastRenderedPageBreak/>
        <w:t>Recurring Revenue Service Commissions</w:t>
      </w:r>
      <w:bookmarkEnd w:id="6"/>
    </w:p>
    <w:p w:rsidR="00473645" w:rsidRDefault="00473645" w:rsidP="00473645">
      <w:pPr>
        <w:spacing w:before="240" w:after="240"/>
        <w:ind w:left="0" w:firstLine="0"/>
        <w:contextualSpacing/>
      </w:pPr>
      <w:r>
        <w:t>Recurring revenue is defined as any order, which generates a fee on a predefined, continual, incremental basis.  This includes:  Service Contracts, Preventative Maintenance, Software Maintenance</w:t>
      </w:r>
      <w:r>
        <w:t>, Managed Services, Onsite labor.</w:t>
      </w:r>
      <w:r>
        <w:t xml:space="preserve">  Commissions for these service orders are paid on the sale price (gross) according to the rate schedule below:</w:t>
      </w:r>
    </w:p>
    <w:p w:rsidR="00473645" w:rsidRDefault="00473645" w:rsidP="00473645">
      <w:pPr>
        <w:spacing w:before="240" w:after="240"/>
        <w:ind w:left="0" w:firstLine="0"/>
        <w:contextualSpacing/>
      </w:pPr>
    </w:p>
    <w:tbl>
      <w:tblPr>
        <w:tblStyle w:val="GridTableLight"/>
        <w:tblW w:w="0" w:type="auto"/>
        <w:tblInd w:w="1435" w:type="dxa"/>
        <w:tblLook w:val="04A0" w:firstRow="1" w:lastRow="0" w:firstColumn="1" w:lastColumn="0" w:noHBand="0" w:noVBand="1"/>
      </w:tblPr>
      <w:tblGrid>
        <w:gridCol w:w="4320"/>
        <w:gridCol w:w="2157"/>
      </w:tblGrid>
      <w:tr w:rsidR="00473645" w:rsidTr="009B1B15">
        <w:tc>
          <w:tcPr>
            <w:tcW w:w="4320" w:type="dxa"/>
          </w:tcPr>
          <w:p w:rsidR="00473645" w:rsidRPr="00437F74" w:rsidRDefault="00473645" w:rsidP="009B1B15">
            <w:pPr>
              <w:spacing w:before="240" w:after="240" w:line="257" w:lineRule="auto"/>
              <w:ind w:left="0" w:firstLine="0"/>
              <w:contextualSpacing/>
              <w:rPr>
                <w:b/>
                <w:i/>
              </w:rPr>
            </w:pPr>
            <w:r>
              <w:t>Recurring Revenue Service Orders</w:t>
            </w:r>
            <w:r>
              <w:br/>
            </w:r>
            <w:r w:rsidRPr="00437F74">
              <w:rPr>
                <w:b/>
                <w:i/>
              </w:rPr>
              <w:t>Paid on Sale Price (Gross)</w:t>
            </w:r>
          </w:p>
        </w:tc>
        <w:tc>
          <w:tcPr>
            <w:tcW w:w="2157" w:type="dxa"/>
          </w:tcPr>
          <w:p w:rsidR="00473645" w:rsidRDefault="00473645" w:rsidP="009B1B15">
            <w:pPr>
              <w:tabs>
                <w:tab w:val="decimal" w:pos="1220"/>
              </w:tabs>
              <w:spacing w:before="240" w:after="240" w:line="257" w:lineRule="auto"/>
              <w:ind w:left="0" w:firstLine="0"/>
              <w:contextualSpacing/>
              <w:jc w:val="both"/>
            </w:pPr>
            <w:r>
              <w:t>Commission Rate*</w:t>
            </w:r>
          </w:p>
        </w:tc>
      </w:tr>
      <w:tr w:rsidR="00473645" w:rsidTr="009B1B15">
        <w:tc>
          <w:tcPr>
            <w:tcW w:w="4320" w:type="dxa"/>
          </w:tcPr>
          <w:p w:rsidR="00473645" w:rsidRDefault="00473645" w:rsidP="009B1B15">
            <w:pPr>
              <w:spacing w:before="240" w:after="240" w:line="257" w:lineRule="auto"/>
              <w:ind w:left="0" w:firstLine="0"/>
              <w:contextualSpacing/>
            </w:pPr>
            <w:r>
              <w:t>New Customer Contracts</w:t>
            </w:r>
          </w:p>
        </w:tc>
        <w:tc>
          <w:tcPr>
            <w:tcW w:w="2157" w:type="dxa"/>
          </w:tcPr>
          <w:p w:rsidR="00473645" w:rsidRDefault="00473645" w:rsidP="009B1B15">
            <w:pPr>
              <w:tabs>
                <w:tab w:val="decimal" w:pos="1220"/>
              </w:tabs>
              <w:spacing w:before="240" w:after="240" w:line="257" w:lineRule="auto"/>
              <w:ind w:left="0" w:firstLine="0"/>
              <w:contextualSpacing/>
              <w:jc w:val="both"/>
            </w:pPr>
            <w:r>
              <w:t>10.0%</w:t>
            </w:r>
          </w:p>
        </w:tc>
      </w:tr>
      <w:tr w:rsidR="00473645" w:rsidTr="009B1B15">
        <w:tc>
          <w:tcPr>
            <w:tcW w:w="4320" w:type="dxa"/>
          </w:tcPr>
          <w:p w:rsidR="00473645" w:rsidRDefault="00473645" w:rsidP="009B1B15">
            <w:pPr>
              <w:spacing w:before="240" w:after="240" w:line="257" w:lineRule="auto"/>
              <w:ind w:left="0" w:firstLine="0"/>
              <w:contextualSpacing/>
            </w:pPr>
            <w:r>
              <w:t>Existing Customer Renewals</w:t>
            </w:r>
          </w:p>
        </w:tc>
        <w:tc>
          <w:tcPr>
            <w:tcW w:w="2157" w:type="dxa"/>
          </w:tcPr>
          <w:p w:rsidR="00473645" w:rsidRDefault="00473645" w:rsidP="009B1B15">
            <w:pPr>
              <w:tabs>
                <w:tab w:val="decimal" w:pos="1220"/>
              </w:tabs>
              <w:spacing w:before="240" w:after="240" w:line="257" w:lineRule="auto"/>
              <w:ind w:left="0" w:firstLine="0"/>
              <w:contextualSpacing/>
              <w:jc w:val="both"/>
            </w:pPr>
            <w:r>
              <w:t>5.0%</w:t>
            </w:r>
          </w:p>
        </w:tc>
      </w:tr>
      <w:tr w:rsidR="00473645" w:rsidTr="009B1B15">
        <w:tc>
          <w:tcPr>
            <w:tcW w:w="4320" w:type="dxa"/>
          </w:tcPr>
          <w:p w:rsidR="00473645" w:rsidRDefault="00473645" w:rsidP="009B1B15">
            <w:pPr>
              <w:spacing w:before="240" w:after="240" w:line="257" w:lineRule="auto"/>
              <w:ind w:left="0" w:firstLine="0"/>
              <w:contextualSpacing/>
            </w:pPr>
            <w:r>
              <w:t>Existing Customer Auto Renewal</w:t>
            </w:r>
          </w:p>
        </w:tc>
        <w:tc>
          <w:tcPr>
            <w:tcW w:w="2157" w:type="dxa"/>
          </w:tcPr>
          <w:p w:rsidR="00473645" w:rsidRDefault="00473645" w:rsidP="009B1B15">
            <w:pPr>
              <w:tabs>
                <w:tab w:val="decimal" w:pos="1220"/>
              </w:tabs>
              <w:spacing w:before="240" w:after="240" w:line="257" w:lineRule="auto"/>
              <w:ind w:left="0" w:firstLine="0"/>
              <w:contextualSpacing/>
              <w:jc w:val="both"/>
            </w:pPr>
            <w:r>
              <w:t>2.5%</w:t>
            </w:r>
          </w:p>
        </w:tc>
      </w:tr>
    </w:tbl>
    <w:p w:rsidR="00473645" w:rsidRDefault="00473645" w:rsidP="00473645"/>
    <w:p w:rsidR="00473645" w:rsidRDefault="00473645" w:rsidP="00473645">
      <w:r>
        <w:t>* This is an introductory rate starting January 1, 20</w:t>
      </w:r>
      <w:r>
        <w:t>__</w:t>
      </w:r>
      <w:r>
        <w:t xml:space="preserve"> and is subject to change at any point in the year at management discretion</w:t>
      </w:r>
    </w:p>
    <w:p w:rsidR="00473645" w:rsidRDefault="00473645" w:rsidP="00473645">
      <w:r>
        <w:t xml:space="preserve">* Commissions will be modified if pricing is discounted from original proposal. </w:t>
      </w:r>
    </w:p>
    <w:p w:rsidR="00473645" w:rsidRDefault="00473645" w:rsidP="00473645">
      <w:pPr>
        <w:pStyle w:val="Heading1"/>
        <w:spacing w:before="240" w:after="240"/>
        <w:contextualSpacing/>
      </w:pPr>
      <w:bookmarkStart w:id="7" w:name="_Toc469330841"/>
      <w:r>
        <w:t>Payment Method and Schedule</w:t>
      </w:r>
      <w:bookmarkEnd w:id="7"/>
    </w:p>
    <w:p w:rsidR="00473645" w:rsidRDefault="00473645" w:rsidP="00473645">
      <w:pPr>
        <w:spacing w:before="240" w:after="240" w:line="240" w:lineRule="auto"/>
        <w:contextualSpacing/>
      </w:pPr>
      <w:r>
        <w:t>Salary is paid bi-weekly on Friday.  C</w:t>
      </w:r>
      <w:r w:rsidRPr="003A77D8">
        <w:t>ommissions</w:t>
      </w:r>
      <w:r>
        <w:t xml:space="preserve"> are paid</w:t>
      </w:r>
      <w:r w:rsidRPr="003A77D8">
        <w:t xml:space="preserve"> the </w:t>
      </w:r>
      <w:r>
        <w:t>last paycheck</w:t>
      </w:r>
      <w:r w:rsidRPr="003A77D8">
        <w:t xml:space="preserve"> of the </w:t>
      </w:r>
      <w:r>
        <w:t xml:space="preserve">following </w:t>
      </w:r>
      <w:r w:rsidRPr="003A77D8">
        <w:t>month</w:t>
      </w:r>
      <w:r>
        <w:t>.</w:t>
      </w:r>
      <w:r w:rsidRPr="003C1D97">
        <w:t xml:space="preserve"> </w:t>
      </w:r>
      <w:r>
        <w:t xml:space="preserve"> Commission is paid as the customer is invoiced.  Invoices older than 120 days </w:t>
      </w:r>
      <w:r>
        <w:t xml:space="preserve">may be </w:t>
      </w:r>
      <w:r>
        <w:t>deemed uncollectible (with exception to retainage.)</w:t>
      </w:r>
    </w:p>
    <w:p w:rsidR="00473645" w:rsidRDefault="00473645" w:rsidP="00473645">
      <w:pPr>
        <w:pStyle w:val="Heading1"/>
        <w:spacing w:before="240" w:after="240"/>
        <w:contextualSpacing/>
      </w:pPr>
      <w:bookmarkStart w:id="8" w:name="_Toc469330842"/>
      <w:r>
        <w:t>Conditions and Responsibilities</w:t>
      </w:r>
      <w:bookmarkEnd w:id="8"/>
    </w:p>
    <w:p w:rsidR="00473645" w:rsidRDefault="00473645" w:rsidP="00473645">
      <w:pPr>
        <w:pStyle w:val="ListParagraph"/>
        <w:numPr>
          <w:ilvl w:val="0"/>
          <w:numId w:val="3"/>
        </w:numPr>
        <w:spacing w:before="240" w:after="240" w:line="240" w:lineRule="auto"/>
      </w:pPr>
      <w:r>
        <w:t>It is the seller’s responsibility to submit a monthly report for all sales in the month.  Sales reports must be submitted to VP of Sales and Marketing (or CFO as a backup) for approval by the Friday following month close.</w:t>
      </w:r>
    </w:p>
    <w:p w:rsidR="00473645" w:rsidRPr="00437F74" w:rsidRDefault="00473645" w:rsidP="00473645">
      <w:pPr>
        <w:pStyle w:val="ListParagraph"/>
        <w:numPr>
          <w:ilvl w:val="0"/>
          <w:numId w:val="3"/>
        </w:numPr>
        <w:spacing w:before="240" w:after="240"/>
      </w:pPr>
      <w:r w:rsidRPr="00437F74">
        <w:t>Sellers name must show up as the main Sales Person</w:t>
      </w:r>
      <w:r>
        <w:t xml:space="preserve"> (in Q360</w:t>
      </w:r>
      <w:r>
        <w:t xml:space="preserve"> or eq.</w:t>
      </w:r>
      <w:r>
        <w:t>)</w:t>
      </w:r>
      <w:r w:rsidRPr="00437F74">
        <w:t xml:space="preserve"> on the job</w:t>
      </w:r>
      <w:r>
        <w:t>/orders</w:t>
      </w:r>
      <w:r w:rsidRPr="00437F74">
        <w:t xml:space="preserve"> to collect commission.  It is the seller’s responsibility to ensure all projects/orders are accurately assigned.</w:t>
      </w:r>
    </w:p>
    <w:p w:rsidR="00473645" w:rsidRDefault="00473645" w:rsidP="00473645">
      <w:pPr>
        <w:pStyle w:val="ListParagraph"/>
        <w:numPr>
          <w:ilvl w:val="0"/>
          <w:numId w:val="3"/>
        </w:numPr>
        <w:spacing w:before="240" w:after="240"/>
      </w:pPr>
      <w:r>
        <w:t>Seller is responsible for ensuring all funnel activity is up to date and as accurate as possible.  Management may delay commission payment due to failure to manage funnel activity.</w:t>
      </w:r>
    </w:p>
    <w:p w:rsidR="00473645" w:rsidRDefault="00473645" w:rsidP="00473645">
      <w:pPr>
        <w:pStyle w:val="ListParagraph"/>
        <w:numPr>
          <w:ilvl w:val="0"/>
          <w:numId w:val="3"/>
        </w:numPr>
        <w:spacing w:before="240" w:after="240"/>
      </w:pPr>
      <w:r w:rsidRPr="00437F74">
        <w:t xml:space="preserve">Written management approval is required on ALL project margins less than </w:t>
      </w:r>
      <w:r>
        <w:t>30</w:t>
      </w:r>
      <w:r w:rsidRPr="00437F74">
        <w:t>%</w:t>
      </w:r>
      <w:r>
        <w:t>.</w:t>
      </w:r>
    </w:p>
    <w:p w:rsidR="00473645" w:rsidRDefault="00473645" w:rsidP="00473645">
      <w:pPr>
        <w:pStyle w:val="ListParagraph"/>
        <w:numPr>
          <w:ilvl w:val="0"/>
          <w:numId w:val="3"/>
        </w:numPr>
        <w:spacing w:before="240" w:after="240"/>
      </w:pPr>
      <w:r>
        <w:t xml:space="preserve">Proposals in excess of $10,000 excluding box sales) requires the written approval of management </w:t>
      </w:r>
      <w:r>
        <w:t xml:space="preserve">&lt;be specific&gt; </w:t>
      </w:r>
      <w:r>
        <w:t>prior to submission to the customer.</w:t>
      </w:r>
    </w:p>
    <w:p w:rsidR="00473645" w:rsidRDefault="00473645" w:rsidP="00473645">
      <w:pPr>
        <w:pStyle w:val="ListParagraph"/>
        <w:numPr>
          <w:ilvl w:val="0"/>
          <w:numId w:val="3"/>
        </w:numPr>
        <w:spacing w:before="240" w:after="240"/>
      </w:pPr>
      <w:r>
        <w:t>Management must approve in advance all requests to participate in public bids</w:t>
      </w:r>
      <w:r>
        <w:t xml:space="preserve"> &lt;proximity, size, scope, risk, bonding, schedule, etc.&gt;</w:t>
      </w:r>
      <w:r>
        <w:t>.</w:t>
      </w:r>
    </w:p>
    <w:p w:rsidR="00473645" w:rsidRDefault="00473645" w:rsidP="00473645">
      <w:pPr>
        <w:pStyle w:val="ListParagraph"/>
        <w:numPr>
          <w:ilvl w:val="0"/>
          <w:numId w:val="3"/>
        </w:numPr>
        <w:spacing w:before="240" w:after="240"/>
      </w:pPr>
      <w:r>
        <w:t>Commission Sharing will be decided on a case by case basis by the seller’s supervisor.</w:t>
      </w:r>
    </w:p>
    <w:p w:rsidR="00473645" w:rsidRDefault="00473645" w:rsidP="00473645">
      <w:pPr>
        <w:pStyle w:val="ListParagraph"/>
        <w:numPr>
          <w:ilvl w:val="0"/>
          <w:numId w:val="3"/>
        </w:numPr>
        <w:spacing w:before="240" w:after="240"/>
      </w:pPr>
      <w:r>
        <w:t xml:space="preserve">Should an individual leave </w:t>
      </w:r>
      <w:r>
        <w:t>XYZ</w:t>
      </w:r>
      <w:r>
        <w:t xml:space="preserve"> either voluntarily or by termination, the commission shall be paid on projects invoiced </w:t>
      </w:r>
      <w:r>
        <w:t>&lt;or invoiced and reserve for collections&gt;</w:t>
      </w:r>
      <w:r>
        <w:t xml:space="preserve"> of the final date of employment.</w:t>
      </w:r>
    </w:p>
    <w:p w:rsidR="00473645" w:rsidRDefault="00473645" w:rsidP="00473645">
      <w:pPr>
        <w:pStyle w:val="Heading1"/>
      </w:pPr>
      <w:bookmarkStart w:id="9" w:name="_Toc469330843"/>
      <w:r>
        <w:t>Non-Competition and Non-Disclosure</w:t>
      </w:r>
      <w:bookmarkEnd w:id="9"/>
    </w:p>
    <w:p w:rsidR="00473645" w:rsidRDefault="00473645" w:rsidP="00473645">
      <w:pPr>
        <w:pStyle w:val="ListParagraph"/>
        <w:numPr>
          <w:ilvl w:val="0"/>
          <w:numId w:val="4"/>
        </w:numPr>
        <w:spacing w:before="240" w:after="240" w:line="257" w:lineRule="auto"/>
        <w:contextualSpacing w:val="0"/>
      </w:pPr>
      <w:r>
        <w:t xml:space="preserve">Covenant Not to Compete.  </w:t>
      </w:r>
      <w:r>
        <w:t>XYZ</w:t>
      </w:r>
      <w:r>
        <w:t>’s (referred to as “the Company”) obligation to pay any commissions pursuant to this Plan shall cease, and the seller shall forfeit all rights to any commissions, if such seller, at any time during employment with the Company is paid or payable hereunder, engages in and/or conducts, within the continental United States and/or any foreign country in which the company has substantial business relationships directly or indirectly, individually or in participation with, or in the employ of, others, as a partner, employee, shareholder, owner, sole proprietor, trustee, beneficiary, officer, director, joint venture, sales representative, independent contractor, member, advisor, consultant or in any similar capacity and/or relationship, any of the following activities:</w:t>
      </w:r>
    </w:p>
    <w:p w:rsidR="00473645" w:rsidRDefault="00473645" w:rsidP="00473645">
      <w:pPr>
        <w:pStyle w:val="ListParagraph"/>
        <w:numPr>
          <w:ilvl w:val="1"/>
          <w:numId w:val="4"/>
        </w:numPr>
        <w:spacing w:before="240" w:after="240" w:line="257" w:lineRule="auto"/>
        <w:contextualSpacing w:val="0"/>
      </w:pPr>
      <w:r>
        <w:lastRenderedPageBreak/>
        <w:t>The ownership, management, operation, lease, control of or participation in any business, venture, activity or endeavor which competes with the Business (as defined below) OF THE Company or is engaged in the same line of Business as the Company;</w:t>
      </w:r>
    </w:p>
    <w:p w:rsidR="00473645" w:rsidRDefault="00473645" w:rsidP="00473645">
      <w:pPr>
        <w:pStyle w:val="ListParagraph"/>
        <w:numPr>
          <w:ilvl w:val="1"/>
          <w:numId w:val="4"/>
        </w:numPr>
        <w:spacing w:before="240" w:after="240" w:line="257" w:lineRule="auto"/>
        <w:contextualSpacing w:val="0"/>
      </w:pPr>
      <w:r>
        <w:t>Suffer or permit any such business, venture, activity or endeavor described or referred to above to so compete with the Business of the Company or engage in the same Business as the Company;</w:t>
      </w:r>
    </w:p>
    <w:p w:rsidR="00473645" w:rsidRDefault="00473645" w:rsidP="00473645">
      <w:pPr>
        <w:pStyle w:val="ListParagraph"/>
        <w:numPr>
          <w:ilvl w:val="1"/>
          <w:numId w:val="4"/>
        </w:numPr>
        <w:spacing w:before="240" w:after="240" w:line="257" w:lineRule="auto"/>
        <w:contextualSpacing w:val="0"/>
      </w:pPr>
      <w:r>
        <w:t>Solicit, influence, request and /or advise, directly or indirectly, any customer and/or supplier or prospective customer and/or supplier of the Company to change, withdraw, curtail or cancel their business or any part thereof with the Company;</w:t>
      </w:r>
    </w:p>
    <w:p w:rsidR="00473645" w:rsidRDefault="00473645" w:rsidP="00473645">
      <w:pPr>
        <w:pStyle w:val="ListParagraph"/>
        <w:numPr>
          <w:ilvl w:val="1"/>
          <w:numId w:val="4"/>
        </w:numPr>
        <w:spacing w:before="240" w:after="240" w:line="257" w:lineRule="auto"/>
        <w:contextualSpacing w:val="0"/>
      </w:pPr>
      <w:r>
        <w:t>Solicit, influence, request and/or advise, directly or indirectly, any employee and/or prospective employee to terminate employment with, or choose not to become employed by the Company, or;</w:t>
      </w:r>
    </w:p>
    <w:p w:rsidR="00473645" w:rsidRDefault="00473645" w:rsidP="00473645">
      <w:pPr>
        <w:pStyle w:val="ListParagraph"/>
        <w:numPr>
          <w:ilvl w:val="1"/>
          <w:numId w:val="4"/>
        </w:numPr>
        <w:spacing w:before="240" w:after="240" w:line="257" w:lineRule="auto"/>
        <w:contextualSpacing w:val="0"/>
      </w:pPr>
      <w:r>
        <w:t>Employ, or offer employment to any employee or recent former employee of the Company, except in connection with the Business of the Company.</w:t>
      </w:r>
    </w:p>
    <w:p w:rsidR="00473645" w:rsidRDefault="00473645" w:rsidP="00473645">
      <w:pPr>
        <w:spacing w:before="240" w:after="240" w:line="257" w:lineRule="auto"/>
        <w:ind w:left="360" w:firstLine="0"/>
      </w:pPr>
      <w:r>
        <w:t>As a condition of this agreement, the seller also agrees, upon voluntary termination or cause, not to compete as defined above for a period of six (6) months from the termination date.  If the seller is terminated involuntarily for economic reasons and informed in writing by the company, the Non-Compete will not apply.</w:t>
      </w:r>
    </w:p>
    <w:p w:rsidR="00473645" w:rsidRDefault="00473645" w:rsidP="00473645">
      <w:pPr>
        <w:pStyle w:val="ListParagraph"/>
        <w:numPr>
          <w:ilvl w:val="0"/>
          <w:numId w:val="4"/>
        </w:numPr>
        <w:spacing w:before="240" w:after="240" w:line="257" w:lineRule="auto"/>
        <w:contextualSpacing w:val="0"/>
      </w:pPr>
      <w:r>
        <w:t xml:space="preserve">Non-Disclosure.  The Company’s obligation to pay any commissions pursuant to the Plan shall also cease, and the seller shall also forfeit all rights to any commissions if such seller, at any time during employment with the Company hereunder, or uses without authorization or discloses to any individual, firm, corporation or other entity, except in connection with performing assigned duties as an Employee of the company, any of the following information, all of which the Company considers to be its proprietary and confidential information: </w:t>
      </w:r>
    </w:p>
    <w:p w:rsidR="00473645" w:rsidRDefault="00473645" w:rsidP="00473645">
      <w:pPr>
        <w:pStyle w:val="ListParagraph"/>
        <w:numPr>
          <w:ilvl w:val="1"/>
          <w:numId w:val="4"/>
        </w:numPr>
        <w:spacing w:before="240" w:after="240" w:line="257" w:lineRule="auto"/>
        <w:contextualSpacing w:val="0"/>
      </w:pPr>
      <w:r>
        <w:t>The name of any customer, supplier or employee, or perspective customer, supplier or employee of the Company;</w:t>
      </w:r>
    </w:p>
    <w:p w:rsidR="00473645" w:rsidRDefault="00473645" w:rsidP="00473645">
      <w:pPr>
        <w:pStyle w:val="ListParagraph"/>
        <w:numPr>
          <w:ilvl w:val="1"/>
          <w:numId w:val="4"/>
        </w:numPr>
        <w:spacing w:before="240" w:after="240" w:line="257" w:lineRule="auto"/>
        <w:contextualSpacing w:val="0"/>
      </w:pPr>
      <w:r>
        <w:t>Any confidential, financial or proprietary information, including, but not limited to any trade secret, business method or process, customer or supplier list, or customer or supplier contract regarding the Business of the Company; and</w:t>
      </w:r>
    </w:p>
    <w:p w:rsidR="00473645" w:rsidRDefault="00473645" w:rsidP="00473645">
      <w:pPr>
        <w:pStyle w:val="ListParagraph"/>
        <w:numPr>
          <w:ilvl w:val="1"/>
          <w:numId w:val="4"/>
        </w:numPr>
        <w:spacing w:before="240" w:after="240" w:line="257" w:lineRule="auto"/>
        <w:contextualSpacing w:val="0"/>
      </w:pPr>
      <w:r>
        <w:t>Any information about or concerning any customer, vendor or supplier (or potential customer, vendor or supplier) of the Company which is the subject of a Confidentiality or Non-Disclosure Agreement between such customer, vendor or supplier and the Company.</w:t>
      </w:r>
    </w:p>
    <w:p w:rsidR="00473645" w:rsidRDefault="00473645" w:rsidP="00473645">
      <w:pPr>
        <w:pStyle w:val="ListParagraph"/>
        <w:spacing w:before="240" w:after="240" w:line="257" w:lineRule="auto"/>
        <w:ind w:left="360" w:firstLine="0"/>
        <w:contextualSpacing w:val="0"/>
      </w:pPr>
      <w:r>
        <w:t>As a condition of this agreement, the seller agrees to the above Non-Disclosure indefinitely.</w:t>
      </w:r>
    </w:p>
    <w:p w:rsidR="00473645" w:rsidRDefault="00473645" w:rsidP="00473645">
      <w:pPr>
        <w:pStyle w:val="ListParagraph"/>
        <w:numPr>
          <w:ilvl w:val="0"/>
          <w:numId w:val="4"/>
        </w:numPr>
        <w:spacing w:before="240" w:after="240" w:line="257" w:lineRule="auto"/>
        <w:contextualSpacing w:val="0"/>
      </w:pPr>
      <w:r>
        <w:t>Business of the Company.  For purposes of the Agreement, the “Business” of the Company shall be defined as the past, present and future business or businesses of the Company, even if such future business is unrelated to the current business of the Company.  The current Business of the Company includes, but is not limited to the design, installation and servicing of audio/visual equipment.</w:t>
      </w:r>
    </w:p>
    <w:p w:rsidR="00473645" w:rsidRDefault="00473645" w:rsidP="00473645">
      <w:pPr>
        <w:pStyle w:val="Heading1"/>
      </w:pPr>
      <w:bookmarkStart w:id="10" w:name="_Toc469330844"/>
      <w:r>
        <w:t>Miscellaneous Considerations</w:t>
      </w:r>
      <w:bookmarkEnd w:id="10"/>
    </w:p>
    <w:p w:rsidR="00473645" w:rsidRDefault="00473645" w:rsidP="00473645">
      <w:pPr>
        <w:spacing w:before="240" w:after="240" w:line="257" w:lineRule="auto"/>
      </w:pPr>
      <w:r>
        <w:t>Management reserves the right to change this compensation plan at any time.</w:t>
      </w:r>
    </w:p>
    <w:p w:rsidR="00473645" w:rsidRPr="003511F5" w:rsidRDefault="00473645" w:rsidP="00473645">
      <w:pPr>
        <w:spacing w:before="240" w:after="240" w:line="257" w:lineRule="auto"/>
      </w:pPr>
      <w:r>
        <w:t xml:space="preserve">Monthly Expenses:  All reasonable monthly expenses associated with performing sales duties will be reimbursed in accordance with the </w:t>
      </w:r>
      <w:r>
        <w:t>XYZ</w:t>
      </w:r>
      <w:r>
        <w:t xml:space="preserve"> employee handbook</w:t>
      </w:r>
      <w:r>
        <w:t xml:space="preserve"> &lt;note: review handbook each time this gets updated</w:t>
      </w:r>
      <w:proofErr w:type="gramStart"/>
      <w:r>
        <w:t xml:space="preserve">&gt; </w:t>
      </w:r>
      <w:r>
        <w:t>.</w:t>
      </w:r>
      <w:proofErr w:type="gramEnd"/>
    </w:p>
    <w:p w:rsidR="00473645" w:rsidRDefault="00473645" w:rsidP="00473645">
      <w:pPr>
        <w:pStyle w:val="Heading1"/>
      </w:pPr>
      <w:bookmarkStart w:id="11" w:name="_Toc469330845"/>
      <w:r>
        <w:lastRenderedPageBreak/>
        <w:t>Sales Compensation Plan Acknowledgement and Execution</w:t>
      </w:r>
      <w:bookmarkEnd w:id="11"/>
    </w:p>
    <w:p w:rsidR="00473645" w:rsidRDefault="00473645" w:rsidP="00473645">
      <w:pPr>
        <w:spacing w:before="240" w:after="240" w:line="257" w:lineRule="auto"/>
      </w:pPr>
      <w:r>
        <w:t>I acknowledge that I have received a copy of the Sales Compensation Document.  I understand that this document replaces any and all prior verbal and written communications regarding commission policies, procedures, and payment guidelines.</w:t>
      </w:r>
    </w:p>
    <w:p w:rsidR="00473645" w:rsidRDefault="00473645" w:rsidP="00473645">
      <w:pPr>
        <w:spacing w:before="240" w:after="240" w:line="257" w:lineRule="auto"/>
      </w:pPr>
      <w:r>
        <w:t>I acknowledge the annual quota information and territory as assigned to me for the stated calendar year in attachment A</w:t>
      </w:r>
      <w:r>
        <w:t xml:space="preserve"> &lt;add if applicable&gt;</w:t>
      </w:r>
      <w:r>
        <w:t>.</w:t>
      </w:r>
    </w:p>
    <w:p w:rsidR="00473645" w:rsidRDefault="00473645" w:rsidP="00473645">
      <w:pPr>
        <w:spacing w:before="240" w:after="240" w:line="257" w:lineRule="auto"/>
      </w:pPr>
      <w:r>
        <w:t xml:space="preserve">I understand that the policies and procedures described in this compensation plan are confidential and will not be distributed in any way or discussed with anyone other than </w:t>
      </w:r>
      <w:r>
        <w:t>XYZ</w:t>
      </w:r>
      <w:r>
        <w:t xml:space="preserve"> Executive- level </w:t>
      </w:r>
      <w:r>
        <w:t xml:space="preserve">&lt;be specific&gt; </w:t>
      </w:r>
      <w:r>
        <w:t xml:space="preserve">management. </w:t>
      </w:r>
    </w:p>
    <w:p w:rsidR="00473645" w:rsidRDefault="00473645" w:rsidP="00473645">
      <w:pPr>
        <w:spacing w:before="240" w:after="240" w:line="257" w:lineRule="auto"/>
      </w:pPr>
      <w:r>
        <w:t xml:space="preserve">I have read and understand the contents of this compensation plan and the terms by which I will receive compensation. </w:t>
      </w:r>
    </w:p>
    <w:p w:rsidR="00473645" w:rsidRDefault="00473645" w:rsidP="00473645">
      <w:pPr>
        <w:spacing w:before="240" w:after="240" w:line="257" w:lineRule="auto"/>
      </w:pPr>
      <w:r>
        <w:t>I understand that if I have questions or concerns at any time I will consult my supervisor or the Executive-level management for clarification.</w:t>
      </w:r>
    </w:p>
    <w:p w:rsidR="00473645" w:rsidRDefault="00473645" w:rsidP="00473645">
      <w:pPr>
        <w:spacing w:before="240" w:after="240" w:line="257" w:lineRule="auto"/>
      </w:pPr>
      <w:r>
        <w:t>I also acknowledge that the compensation plan contains provisions that state:</w:t>
      </w:r>
    </w:p>
    <w:p w:rsidR="00473645" w:rsidRDefault="00473645" w:rsidP="00473645">
      <w:pPr>
        <w:pStyle w:val="ListParagraph"/>
        <w:numPr>
          <w:ilvl w:val="0"/>
          <w:numId w:val="5"/>
        </w:numPr>
        <w:spacing w:before="240" w:after="240" w:line="257" w:lineRule="auto"/>
      </w:pPr>
      <w:r>
        <w:t xml:space="preserve">Management reserves the right to alter, amend, extend or terminate this plan at any time at their discretion, without limitation, and issue supplementary written instructions, interpretations, and rules from time to time as may be deemed necessary for proper administration of this plan; </w:t>
      </w:r>
    </w:p>
    <w:p w:rsidR="00473645" w:rsidRDefault="00473645" w:rsidP="00473645">
      <w:pPr>
        <w:pStyle w:val="ListParagraph"/>
        <w:numPr>
          <w:ilvl w:val="0"/>
          <w:numId w:val="5"/>
        </w:numPr>
        <w:spacing w:before="240" w:after="240" w:line="257" w:lineRule="auto"/>
      </w:pPr>
      <w:r>
        <w:t>This document does not constitute an employment contract and does not guarantee employment of any kind.</w:t>
      </w:r>
    </w:p>
    <w:p w:rsidR="00473645" w:rsidRDefault="00473645" w:rsidP="00473645">
      <w:pPr>
        <w:pStyle w:val="ListParagraph"/>
        <w:numPr>
          <w:ilvl w:val="0"/>
          <w:numId w:val="5"/>
        </w:numPr>
        <w:spacing w:before="240" w:after="240" w:line="257" w:lineRule="auto"/>
      </w:pPr>
      <w:r>
        <w:t xml:space="preserve">No commissions will be paid until employee and either the VP of Sales and Marketing or President </w:t>
      </w:r>
      <w:proofErr w:type="gramStart"/>
      <w:r>
        <w:t>have</w:t>
      </w:r>
      <w:proofErr w:type="gramEnd"/>
      <w:r>
        <w:t xml:space="preserve"> executed this plan.</w:t>
      </w:r>
    </w:p>
    <w:p w:rsidR="00473645" w:rsidRDefault="00473645" w:rsidP="00473645">
      <w:pPr>
        <w:spacing w:before="240" w:after="240" w:line="257" w:lineRule="auto"/>
      </w:pPr>
      <w:r>
        <w:t>____________________________________________________________________________________________</w:t>
      </w:r>
    </w:p>
    <w:p w:rsidR="00473645" w:rsidRDefault="00473645" w:rsidP="00473645">
      <w:pPr>
        <w:spacing w:before="240" w:after="240" w:line="257" w:lineRule="auto"/>
      </w:pPr>
      <w:r>
        <w:t xml:space="preserve">Please read this compensation plan carefully to understand these conditions before you sign.  A non-response will result in a non-payment of commissions due. </w:t>
      </w:r>
    </w:p>
    <w:tbl>
      <w:tblPr>
        <w:tblW w:w="0" w:type="auto"/>
        <w:tblInd w:w="450" w:type="dxa"/>
        <w:tblLook w:val="04A0" w:firstRow="1" w:lastRow="0" w:firstColumn="1" w:lastColumn="0" w:noHBand="0" w:noVBand="1"/>
      </w:tblPr>
      <w:tblGrid>
        <w:gridCol w:w="5851"/>
        <w:gridCol w:w="270"/>
        <w:gridCol w:w="2980"/>
      </w:tblGrid>
      <w:tr w:rsidR="00473645" w:rsidRPr="00E47558" w:rsidTr="009B1B15">
        <w:tc>
          <w:tcPr>
            <w:tcW w:w="5868" w:type="dxa"/>
            <w:tcBorders>
              <w:bottom w:val="single" w:sz="4" w:space="0" w:color="auto"/>
            </w:tcBorders>
          </w:tcPr>
          <w:p w:rsidR="00473645" w:rsidRPr="00E47558" w:rsidRDefault="00473645" w:rsidP="009B1B15">
            <w:pPr>
              <w:spacing w:after="120" w:line="276" w:lineRule="auto"/>
              <w:ind w:left="0" w:firstLine="0"/>
              <w:rPr>
                <w:rFonts w:ascii="Calibri" w:hAnsi="Calibri"/>
                <w:color w:val="auto"/>
                <w:szCs w:val="20"/>
                <w:lang w:bidi="en-US"/>
              </w:rPr>
            </w:pPr>
          </w:p>
        </w:tc>
        <w:tc>
          <w:tcPr>
            <w:tcW w:w="270" w:type="dxa"/>
          </w:tcPr>
          <w:p w:rsidR="00473645" w:rsidRPr="00E47558" w:rsidRDefault="00473645" w:rsidP="009B1B15">
            <w:pPr>
              <w:spacing w:after="120" w:line="276" w:lineRule="auto"/>
              <w:ind w:left="0" w:firstLine="0"/>
              <w:rPr>
                <w:rFonts w:ascii="Calibri" w:hAnsi="Calibri"/>
                <w:color w:val="auto"/>
                <w:szCs w:val="20"/>
                <w:lang w:bidi="en-US"/>
              </w:rPr>
            </w:pPr>
          </w:p>
        </w:tc>
        <w:tc>
          <w:tcPr>
            <w:tcW w:w="2988" w:type="dxa"/>
            <w:tcBorders>
              <w:bottom w:val="single" w:sz="4" w:space="0" w:color="auto"/>
            </w:tcBorders>
          </w:tcPr>
          <w:p w:rsidR="00473645" w:rsidRPr="00E47558" w:rsidRDefault="00473645" w:rsidP="009B1B15">
            <w:pPr>
              <w:spacing w:after="120" w:line="276" w:lineRule="auto"/>
              <w:ind w:left="0" w:firstLine="0"/>
              <w:rPr>
                <w:rFonts w:ascii="Calibri" w:hAnsi="Calibri"/>
                <w:color w:val="auto"/>
                <w:szCs w:val="20"/>
                <w:lang w:bidi="en-US"/>
              </w:rPr>
            </w:pPr>
          </w:p>
        </w:tc>
      </w:tr>
      <w:tr w:rsidR="00473645" w:rsidRPr="00E47558" w:rsidTr="009B1B15">
        <w:tc>
          <w:tcPr>
            <w:tcW w:w="5868" w:type="dxa"/>
            <w:tcBorders>
              <w:top w:val="single" w:sz="4" w:space="0" w:color="auto"/>
            </w:tcBorders>
          </w:tcPr>
          <w:p w:rsidR="00473645" w:rsidRPr="00E47558" w:rsidRDefault="00473645" w:rsidP="009B1B15">
            <w:pPr>
              <w:spacing w:after="120" w:line="276" w:lineRule="auto"/>
              <w:ind w:left="0" w:firstLine="0"/>
              <w:rPr>
                <w:rFonts w:ascii="Calibri" w:hAnsi="Calibri"/>
                <w:color w:val="auto"/>
                <w:szCs w:val="20"/>
                <w:lang w:bidi="en-US"/>
              </w:rPr>
            </w:pPr>
            <w:r w:rsidRPr="00E47558">
              <w:rPr>
                <w:rFonts w:ascii="Calibri" w:hAnsi="Calibri"/>
                <w:color w:val="auto"/>
                <w:szCs w:val="20"/>
                <w:lang w:bidi="en-US"/>
              </w:rPr>
              <w:t>Employee Signature</w:t>
            </w:r>
          </w:p>
        </w:tc>
        <w:tc>
          <w:tcPr>
            <w:tcW w:w="270" w:type="dxa"/>
          </w:tcPr>
          <w:p w:rsidR="00473645" w:rsidRPr="00E47558" w:rsidRDefault="00473645" w:rsidP="009B1B15">
            <w:pPr>
              <w:spacing w:after="120" w:line="276" w:lineRule="auto"/>
              <w:ind w:left="0" w:firstLine="0"/>
              <w:rPr>
                <w:rFonts w:ascii="Calibri" w:hAnsi="Calibri"/>
                <w:color w:val="auto"/>
                <w:szCs w:val="20"/>
                <w:lang w:bidi="en-US"/>
              </w:rPr>
            </w:pPr>
          </w:p>
        </w:tc>
        <w:tc>
          <w:tcPr>
            <w:tcW w:w="2988" w:type="dxa"/>
            <w:tcBorders>
              <w:top w:val="single" w:sz="4" w:space="0" w:color="auto"/>
            </w:tcBorders>
          </w:tcPr>
          <w:p w:rsidR="00473645" w:rsidRPr="00E47558" w:rsidRDefault="00473645" w:rsidP="009B1B15">
            <w:pPr>
              <w:spacing w:after="120" w:line="276" w:lineRule="auto"/>
              <w:ind w:left="0" w:firstLine="0"/>
              <w:rPr>
                <w:rFonts w:ascii="Calibri" w:hAnsi="Calibri"/>
                <w:color w:val="auto"/>
                <w:szCs w:val="20"/>
                <w:lang w:bidi="en-US"/>
              </w:rPr>
            </w:pPr>
            <w:r w:rsidRPr="00E47558">
              <w:rPr>
                <w:rFonts w:ascii="Calibri" w:hAnsi="Calibri"/>
                <w:color w:val="auto"/>
                <w:szCs w:val="20"/>
                <w:lang w:bidi="en-US"/>
              </w:rPr>
              <w:t>Date</w:t>
            </w:r>
          </w:p>
        </w:tc>
      </w:tr>
      <w:tr w:rsidR="00473645" w:rsidRPr="00E47558" w:rsidTr="009B1B15">
        <w:trPr>
          <w:gridAfter w:val="2"/>
          <w:wAfter w:w="3258" w:type="dxa"/>
        </w:trPr>
        <w:tc>
          <w:tcPr>
            <w:tcW w:w="5868" w:type="dxa"/>
            <w:tcBorders>
              <w:bottom w:val="single" w:sz="4" w:space="0" w:color="auto"/>
            </w:tcBorders>
          </w:tcPr>
          <w:p w:rsidR="00473645" w:rsidRPr="00E47558" w:rsidRDefault="00473645" w:rsidP="009B1B15">
            <w:pPr>
              <w:spacing w:after="120" w:line="276" w:lineRule="auto"/>
              <w:ind w:left="0" w:firstLine="0"/>
              <w:rPr>
                <w:rFonts w:ascii="Calibri" w:hAnsi="Calibri"/>
                <w:color w:val="auto"/>
                <w:szCs w:val="20"/>
                <w:lang w:bidi="en-US"/>
              </w:rPr>
            </w:pPr>
          </w:p>
        </w:tc>
      </w:tr>
      <w:tr w:rsidR="00473645" w:rsidRPr="00E47558" w:rsidTr="009B1B15">
        <w:trPr>
          <w:gridAfter w:val="2"/>
          <w:wAfter w:w="3258" w:type="dxa"/>
        </w:trPr>
        <w:tc>
          <w:tcPr>
            <w:tcW w:w="5868" w:type="dxa"/>
            <w:tcBorders>
              <w:top w:val="single" w:sz="4" w:space="0" w:color="auto"/>
            </w:tcBorders>
          </w:tcPr>
          <w:p w:rsidR="00473645" w:rsidRPr="00E47558" w:rsidRDefault="00473645" w:rsidP="009B1B15">
            <w:pPr>
              <w:spacing w:after="120" w:line="276" w:lineRule="auto"/>
              <w:ind w:left="0" w:firstLine="0"/>
              <w:rPr>
                <w:rFonts w:ascii="Calibri" w:hAnsi="Calibri"/>
                <w:color w:val="auto"/>
                <w:szCs w:val="20"/>
                <w:lang w:bidi="en-US"/>
              </w:rPr>
            </w:pPr>
            <w:r w:rsidRPr="00E47558">
              <w:rPr>
                <w:rFonts w:ascii="Calibri" w:hAnsi="Calibri"/>
                <w:color w:val="auto"/>
                <w:szCs w:val="20"/>
                <w:lang w:bidi="en-US"/>
              </w:rPr>
              <w:t>Printed Name</w:t>
            </w:r>
          </w:p>
        </w:tc>
      </w:tr>
      <w:tr w:rsidR="00473645" w:rsidRPr="00E47558" w:rsidTr="009B1B15">
        <w:tc>
          <w:tcPr>
            <w:tcW w:w="5868" w:type="dxa"/>
            <w:tcBorders>
              <w:bottom w:val="single" w:sz="4" w:space="0" w:color="auto"/>
            </w:tcBorders>
          </w:tcPr>
          <w:p w:rsidR="00473645" w:rsidRPr="00E47558" w:rsidRDefault="00473645" w:rsidP="009B1B15">
            <w:pPr>
              <w:spacing w:after="120" w:line="276" w:lineRule="auto"/>
              <w:ind w:left="0" w:firstLine="0"/>
              <w:rPr>
                <w:rFonts w:ascii="Calibri" w:hAnsi="Calibri"/>
                <w:color w:val="auto"/>
                <w:szCs w:val="20"/>
                <w:lang w:bidi="en-US"/>
              </w:rPr>
            </w:pPr>
          </w:p>
        </w:tc>
        <w:tc>
          <w:tcPr>
            <w:tcW w:w="270" w:type="dxa"/>
          </w:tcPr>
          <w:p w:rsidR="00473645" w:rsidRPr="00E47558" w:rsidRDefault="00473645" w:rsidP="009B1B15">
            <w:pPr>
              <w:spacing w:after="120" w:line="276" w:lineRule="auto"/>
              <w:ind w:left="0" w:firstLine="0"/>
              <w:rPr>
                <w:rFonts w:ascii="Calibri" w:hAnsi="Calibri"/>
                <w:color w:val="auto"/>
                <w:szCs w:val="20"/>
                <w:lang w:bidi="en-US"/>
              </w:rPr>
            </w:pPr>
          </w:p>
        </w:tc>
        <w:tc>
          <w:tcPr>
            <w:tcW w:w="2988" w:type="dxa"/>
            <w:tcBorders>
              <w:bottom w:val="single" w:sz="4" w:space="0" w:color="auto"/>
            </w:tcBorders>
          </w:tcPr>
          <w:p w:rsidR="00473645" w:rsidRPr="00E47558" w:rsidRDefault="00473645" w:rsidP="009B1B15">
            <w:pPr>
              <w:spacing w:after="120" w:line="276" w:lineRule="auto"/>
              <w:ind w:left="0" w:firstLine="0"/>
              <w:rPr>
                <w:rFonts w:ascii="Calibri" w:hAnsi="Calibri"/>
                <w:color w:val="auto"/>
                <w:szCs w:val="20"/>
                <w:lang w:bidi="en-US"/>
              </w:rPr>
            </w:pPr>
          </w:p>
        </w:tc>
      </w:tr>
      <w:tr w:rsidR="00473645" w:rsidRPr="00E47558" w:rsidTr="009B1B15">
        <w:tc>
          <w:tcPr>
            <w:tcW w:w="5868" w:type="dxa"/>
            <w:tcBorders>
              <w:top w:val="single" w:sz="4" w:space="0" w:color="auto"/>
            </w:tcBorders>
          </w:tcPr>
          <w:p w:rsidR="00473645" w:rsidRPr="00E47558" w:rsidRDefault="00473645" w:rsidP="009B1B15">
            <w:pPr>
              <w:spacing w:after="120" w:line="276" w:lineRule="auto"/>
              <w:ind w:left="0" w:firstLine="0"/>
              <w:rPr>
                <w:rFonts w:ascii="Calibri" w:hAnsi="Calibri"/>
                <w:color w:val="auto"/>
                <w:szCs w:val="20"/>
                <w:lang w:bidi="en-US"/>
              </w:rPr>
            </w:pPr>
            <w:r>
              <w:rPr>
                <w:rFonts w:ascii="Calibri" w:hAnsi="Calibri"/>
                <w:color w:val="auto"/>
                <w:szCs w:val="20"/>
                <w:lang w:bidi="en-US"/>
              </w:rPr>
              <w:t>VP of Sales and Marketing</w:t>
            </w:r>
          </w:p>
        </w:tc>
        <w:tc>
          <w:tcPr>
            <w:tcW w:w="270" w:type="dxa"/>
          </w:tcPr>
          <w:p w:rsidR="00473645" w:rsidRPr="00E47558" w:rsidRDefault="00473645" w:rsidP="009B1B15">
            <w:pPr>
              <w:spacing w:after="120" w:line="276" w:lineRule="auto"/>
              <w:ind w:left="0" w:firstLine="0"/>
              <w:rPr>
                <w:rFonts w:ascii="Calibri" w:hAnsi="Calibri"/>
                <w:color w:val="auto"/>
                <w:szCs w:val="20"/>
                <w:lang w:bidi="en-US"/>
              </w:rPr>
            </w:pPr>
          </w:p>
        </w:tc>
        <w:tc>
          <w:tcPr>
            <w:tcW w:w="2988" w:type="dxa"/>
          </w:tcPr>
          <w:p w:rsidR="00473645" w:rsidRPr="00E47558" w:rsidRDefault="00473645" w:rsidP="009B1B15">
            <w:pPr>
              <w:spacing w:after="120" w:line="276" w:lineRule="auto"/>
              <w:ind w:left="0" w:firstLine="0"/>
              <w:rPr>
                <w:rFonts w:ascii="Calibri" w:hAnsi="Calibri"/>
                <w:color w:val="auto"/>
                <w:szCs w:val="20"/>
                <w:lang w:bidi="en-US"/>
              </w:rPr>
            </w:pPr>
            <w:r w:rsidRPr="00E47558">
              <w:rPr>
                <w:rFonts w:ascii="Calibri" w:hAnsi="Calibri"/>
                <w:color w:val="auto"/>
                <w:szCs w:val="20"/>
                <w:lang w:bidi="en-US"/>
              </w:rPr>
              <w:t>Date</w:t>
            </w:r>
          </w:p>
        </w:tc>
      </w:tr>
      <w:tr w:rsidR="00473645" w:rsidRPr="00E47558" w:rsidTr="009B1B15">
        <w:tc>
          <w:tcPr>
            <w:tcW w:w="5868" w:type="dxa"/>
            <w:tcBorders>
              <w:bottom w:val="single" w:sz="4" w:space="0" w:color="auto"/>
            </w:tcBorders>
          </w:tcPr>
          <w:p w:rsidR="00473645" w:rsidRPr="00E47558" w:rsidRDefault="00473645" w:rsidP="009B1B15">
            <w:pPr>
              <w:spacing w:after="120" w:line="276" w:lineRule="auto"/>
              <w:ind w:left="0" w:firstLine="0"/>
              <w:rPr>
                <w:rFonts w:ascii="Calibri" w:hAnsi="Calibri"/>
                <w:color w:val="auto"/>
                <w:szCs w:val="20"/>
                <w:lang w:bidi="en-US"/>
              </w:rPr>
            </w:pPr>
          </w:p>
        </w:tc>
        <w:tc>
          <w:tcPr>
            <w:tcW w:w="270" w:type="dxa"/>
          </w:tcPr>
          <w:p w:rsidR="00473645" w:rsidRPr="00E47558" w:rsidRDefault="00473645" w:rsidP="009B1B15">
            <w:pPr>
              <w:spacing w:after="120" w:line="276" w:lineRule="auto"/>
              <w:ind w:left="0" w:firstLine="0"/>
              <w:rPr>
                <w:rFonts w:ascii="Calibri" w:hAnsi="Calibri"/>
                <w:color w:val="auto"/>
                <w:szCs w:val="20"/>
                <w:lang w:bidi="en-US"/>
              </w:rPr>
            </w:pPr>
          </w:p>
        </w:tc>
        <w:tc>
          <w:tcPr>
            <w:tcW w:w="2988" w:type="dxa"/>
            <w:tcBorders>
              <w:bottom w:val="single" w:sz="4" w:space="0" w:color="auto"/>
            </w:tcBorders>
          </w:tcPr>
          <w:p w:rsidR="00473645" w:rsidRPr="00E47558" w:rsidRDefault="00473645" w:rsidP="009B1B15">
            <w:pPr>
              <w:spacing w:after="120" w:line="276" w:lineRule="auto"/>
              <w:ind w:left="0" w:firstLine="0"/>
              <w:rPr>
                <w:rFonts w:ascii="Calibri" w:hAnsi="Calibri"/>
                <w:color w:val="auto"/>
                <w:szCs w:val="20"/>
                <w:lang w:bidi="en-US"/>
              </w:rPr>
            </w:pPr>
          </w:p>
        </w:tc>
      </w:tr>
      <w:tr w:rsidR="00473645" w:rsidRPr="00E47558" w:rsidTr="009B1B15">
        <w:tc>
          <w:tcPr>
            <w:tcW w:w="5868" w:type="dxa"/>
            <w:tcBorders>
              <w:top w:val="single" w:sz="4" w:space="0" w:color="auto"/>
            </w:tcBorders>
          </w:tcPr>
          <w:p w:rsidR="00473645" w:rsidRPr="00E47558" w:rsidRDefault="00473645" w:rsidP="009B1B15">
            <w:pPr>
              <w:spacing w:after="120" w:line="276" w:lineRule="auto"/>
              <w:ind w:left="0" w:firstLine="0"/>
              <w:rPr>
                <w:rFonts w:ascii="Calibri" w:hAnsi="Calibri"/>
                <w:color w:val="auto"/>
                <w:szCs w:val="20"/>
                <w:lang w:bidi="en-US"/>
              </w:rPr>
            </w:pPr>
            <w:r>
              <w:rPr>
                <w:rFonts w:ascii="Calibri" w:hAnsi="Calibri"/>
                <w:color w:val="auto"/>
                <w:szCs w:val="20"/>
                <w:lang w:bidi="en-US"/>
              </w:rPr>
              <w:t>President</w:t>
            </w:r>
          </w:p>
        </w:tc>
        <w:tc>
          <w:tcPr>
            <w:tcW w:w="270" w:type="dxa"/>
          </w:tcPr>
          <w:p w:rsidR="00473645" w:rsidRPr="00E47558" w:rsidRDefault="00473645" w:rsidP="009B1B15">
            <w:pPr>
              <w:spacing w:after="120" w:line="276" w:lineRule="auto"/>
              <w:ind w:left="0" w:firstLine="0"/>
              <w:rPr>
                <w:rFonts w:ascii="Calibri" w:hAnsi="Calibri"/>
                <w:color w:val="auto"/>
                <w:szCs w:val="20"/>
                <w:lang w:bidi="en-US"/>
              </w:rPr>
            </w:pPr>
          </w:p>
        </w:tc>
        <w:tc>
          <w:tcPr>
            <w:tcW w:w="2988" w:type="dxa"/>
            <w:tcBorders>
              <w:top w:val="single" w:sz="4" w:space="0" w:color="auto"/>
            </w:tcBorders>
          </w:tcPr>
          <w:p w:rsidR="00473645" w:rsidRPr="00E47558" w:rsidRDefault="00473645" w:rsidP="009B1B15">
            <w:pPr>
              <w:spacing w:after="120" w:line="276" w:lineRule="auto"/>
              <w:ind w:left="0" w:firstLine="0"/>
              <w:rPr>
                <w:rFonts w:ascii="Calibri" w:hAnsi="Calibri"/>
                <w:color w:val="auto"/>
                <w:szCs w:val="20"/>
                <w:lang w:bidi="en-US"/>
              </w:rPr>
            </w:pPr>
            <w:r w:rsidRPr="00E47558">
              <w:rPr>
                <w:rFonts w:ascii="Calibri" w:hAnsi="Calibri"/>
                <w:color w:val="auto"/>
                <w:szCs w:val="20"/>
                <w:lang w:bidi="en-US"/>
              </w:rPr>
              <w:t>Date</w:t>
            </w:r>
          </w:p>
        </w:tc>
      </w:tr>
    </w:tbl>
    <w:p w:rsidR="00473645" w:rsidRDefault="00473645" w:rsidP="00473645">
      <w:pPr>
        <w:spacing w:after="160" w:line="259" w:lineRule="auto"/>
        <w:ind w:left="0" w:firstLine="0"/>
      </w:pPr>
    </w:p>
    <w:p w:rsidR="00473645" w:rsidRDefault="00473645" w:rsidP="00473645">
      <w:pPr>
        <w:spacing w:after="160" w:line="259" w:lineRule="auto"/>
        <w:ind w:left="0" w:firstLine="0"/>
      </w:pPr>
      <w:r>
        <w:br w:type="page"/>
      </w:r>
    </w:p>
    <w:p w:rsidR="00473645" w:rsidRDefault="00473645" w:rsidP="00473645">
      <w:pPr>
        <w:pStyle w:val="Heading1"/>
        <w:sectPr w:rsidR="00473645" w:rsidSect="00264B49">
          <w:headerReference w:type="default" r:id="rId12"/>
          <w:pgSz w:w="12240" w:h="15840"/>
          <w:pgMar w:top="861" w:right="1465" w:bottom="1792" w:left="1440" w:header="720" w:footer="720" w:gutter="0"/>
          <w:cols w:space="720"/>
          <w:docGrid w:linePitch="272"/>
        </w:sectPr>
      </w:pPr>
    </w:p>
    <w:p w:rsidR="00E435A4" w:rsidRDefault="00E435A4"/>
    <w:sectPr w:rsidR="00E435A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45" w:rsidRDefault="00473645" w:rsidP="00473645">
      <w:pPr>
        <w:spacing w:after="0" w:line="240" w:lineRule="auto"/>
      </w:pPr>
      <w:r>
        <w:separator/>
      </w:r>
    </w:p>
  </w:endnote>
  <w:endnote w:type="continuationSeparator" w:id="0">
    <w:p w:rsidR="00473645" w:rsidRDefault="00473645" w:rsidP="00473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3F" w:rsidRDefault="000861DB">
    <w:pPr>
      <w:tabs>
        <w:tab w:val="center" w:pos="4679"/>
        <w:tab w:val="right" w:pos="9335"/>
      </w:tabs>
      <w:spacing w:after="0" w:line="259" w:lineRule="auto"/>
      <w:ind w:left="0" w:right="-23" w:firstLine="0"/>
    </w:pPr>
    <w:r>
      <w:t>Confidential</w:t>
    </w:r>
    <w:r>
      <w:t xml:space="preserve"> </w:t>
    </w:r>
    <w:r>
      <w:tab/>
      <w:t xml:space="preserve"> </w:t>
    </w:r>
    <w:r>
      <w:tab/>
      <w:t xml:space="preserve"> </w:t>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3F" w:rsidRDefault="000861DB">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45" w:rsidRDefault="00473645" w:rsidP="00473645">
      <w:pPr>
        <w:spacing w:after="0" w:line="240" w:lineRule="auto"/>
      </w:pPr>
      <w:r>
        <w:separator/>
      </w:r>
    </w:p>
  </w:footnote>
  <w:footnote w:type="continuationSeparator" w:id="0">
    <w:p w:rsidR="00473645" w:rsidRDefault="00473645" w:rsidP="00473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3F" w:rsidRDefault="000861DB">
    <w:pPr>
      <w:spacing w:after="0" w:line="259" w:lineRule="auto"/>
      <w:ind w:left="0" w:firstLine="0"/>
    </w:pPr>
    <w:r>
      <w:rPr>
        <w:noProof/>
      </w:rPr>
      <w:drawing>
        <wp:anchor distT="0" distB="0" distL="114300" distR="114300" simplePos="0" relativeHeight="251659264" behindDoc="0" locked="0" layoutInCell="1" allowOverlap="0" wp14:anchorId="5B7DD253" wp14:editId="04FA9771">
          <wp:simplePos x="0" y="0"/>
          <wp:positionH relativeFrom="page">
            <wp:posOffset>5446776</wp:posOffset>
          </wp:positionH>
          <wp:positionV relativeFrom="page">
            <wp:posOffset>137160</wp:posOffset>
          </wp:positionV>
          <wp:extent cx="1411224" cy="54254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411224" cy="542544"/>
                  </a:xfrm>
                  <a:prstGeom prst="rect">
                    <a:avLst/>
                  </a:prstGeom>
                </pic:spPr>
              </pic:pic>
            </a:graphicData>
          </a:graphic>
        </wp:anchor>
      </w:drawing>
    </w:r>
    <w:r>
      <w:t xml:space="preserve">SVT Market Approach and Opportunity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9B8" w:rsidRDefault="000861DB" w:rsidP="00FC59B8">
    <w:pPr>
      <w:spacing w:after="0" w:line="259" w:lineRule="auto"/>
      <w:ind w:left="0" w:firstLine="0"/>
    </w:pPr>
    <w:r>
      <w:rPr>
        <w:noProof/>
      </w:rPr>
      <w:drawing>
        <wp:anchor distT="0" distB="0" distL="114300" distR="114300" simplePos="0" relativeHeight="251660288" behindDoc="0" locked="0" layoutInCell="1" allowOverlap="0" wp14:anchorId="1C908300" wp14:editId="6EFE4C45">
          <wp:simplePos x="0" y="0"/>
          <wp:positionH relativeFrom="margin">
            <wp:align>right</wp:align>
          </wp:positionH>
          <wp:positionV relativeFrom="page">
            <wp:posOffset>299392</wp:posOffset>
          </wp:positionV>
          <wp:extent cx="1411224" cy="542544"/>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411224" cy="542544"/>
                  </a:xfrm>
                  <a:prstGeom prst="rect">
                    <a:avLst/>
                  </a:prstGeom>
                </pic:spPr>
              </pic:pic>
            </a:graphicData>
          </a:graphic>
        </wp:anchor>
      </w:drawing>
    </w:r>
    <w:r>
      <w:t>2017 Sales Compensation Plan</w:t>
    </w:r>
  </w:p>
  <w:p w:rsidR="00FC59B8" w:rsidRDefault="000861DB" w:rsidP="00FC59B8">
    <w:pPr>
      <w:spacing w:after="0" w:line="259" w:lineRule="auto"/>
      <w:ind w:left="0" w:firstLine="0"/>
    </w:pPr>
    <w:r>
      <w:t>Rev. 12/1/2016</w:t>
    </w:r>
  </w:p>
  <w:p w:rsidR="0029313F" w:rsidRDefault="000861DB">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49" w:rsidRDefault="000861DB" w:rsidP="00264B49">
    <w:pPr>
      <w:spacing w:after="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03B73"/>
    <w:multiLevelType w:val="hybridMultilevel"/>
    <w:tmpl w:val="CD3E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70F70"/>
    <w:multiLevelType w:val="hybridMultilevel"/>
    <w:tmpl w:val="F22ACEB0"/>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
    <w:nsid w:val="2B1D25BE"/>
    <w:multiLevelType w:val="hybridMultilevel"/>
    <w:tmpl w:val="2DC0872A"/>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nsid w:val="4B7642D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8F61B8B"/>
    <w:multiLevelType w:val="hybridMultilevel"/>
    <w:tmpl w:val="18F83398"/>
    <w:lvl w:ilvl="0" w:tplc="04090001">
      <w:start w:val="1"/>
      <w:numFmt w:val="bullet"/>
      <w:lvlText w:val=""/>
      <w:lvlJc w:val="left"/>
      <w:pPr>
        <w:ind w:left="370" w:hanging="360"/>
      </w:pPr>
      <w:rPr>
        <w:rFonts w:ascii="Symbol" w:hAnsi="Symbol" w:hint="default"/>
      </w:rPr>
    </w:lvl>
    <w:lvl w:ilvl="1" w:tplc="95F66192">
      <w:numFmt w:val="bullet"/>
      <w:lvlText w:val="•"/>
      <w:lvlJc w:val="left"/>
      <w:pPr>
        <w:ind w:left="1450" w:hanging="720"/>
      </w:pPr>
      <w:rPr>
        <w:rFonts w:ascii="Times New Roman" w:eastAsia="Times New Roman" w:hAnsi="Times New Roman" w:cs="Times New Roman"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645"/>
    <w:rsid w:val="000861DB"/>
    <w:rsid w:val="00473645"/>
    <w:rsid w:val="00E4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645"/>
    <w:pPr>
      <w:spacing w:after="60" w:line="256" w:lineRule="auto"/>
      <w:ind w:left="10" w:hanging="10"/>
    </w:pPr>
    <w:rPr>
      <w:color w:val="000000"/>
      <w:szCs w:val="22"/>
    </w:rPr>
  </w:style>
  <w:style w:type="paragraph" w:styleId="Heading1">
    <w:name w:val="heading 1"/>
    <w:next w:val="Normal"/>
    <w:link w:val="Heading1Char"/>
    <w:uiPriority w:val="9"/>
    <w:unhideWhenUsed/>
    <w:qFormat/>
    <w:rsid w:val="00473645"/>
    <w:pPr>
      <w:keepNext/>
      <w:keepLines/>
      <w:shd w:val="clear" w:color="auto" w:fill="5B9BD5"/>
      <w:spacing w:after="178" w:line="259" w:lineRule="auto"/>
      <w:ind w:left="10" w:hanging="10"/>
      <w:outlineLvl w:val="0"/>
    </w:pPr>
    <w:rPr>
      <w:color w:val="FFFFFF"/>
      <w:sz w:val="22"/>
      <w:szCs w:val="22"/>
    </w:rPr>
  </w:style>
  <w:style w:type="paragraph" w:styleId="Heading2">
    <w:name w:val="heading 2"/>
    <w:next w:val="Normal"/>
    <w:link w:val="Heading2Char"/>
    <w:uiPriority w:val="9"/>
    <w:unhideWhenUsed/>
    <w:qFormat/>
    <w:rsid w:val="00473645"/>
    <w:pPr>
      <w:keepNext/>
      <w:keepLines/>
      <w:shd w:val="clear" w:color="auto" w:fill="DEEAF6"/>
      <w:spacing w:after="193" w:line="259" w:lineRule="auto"/>
      <w:ind w:left="10" w:hanging="10"/>
      <w:outlineLvl w:val="1"/>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645"/>
    <w:rPr>
      <w:color w:val="FFFFFF"/>
      <w:sz w:val="22"/>
      <w:szCs w:val="22"/>
      <w:shd w:val="clear" w:color="auto" w:fill="5B9BD5"/>
    </w:rPr>
  </w:style>
  <w:style w:type="character" w:customStyle="1" w:styleId="Heading2Char">
    <w:name w:val="Heading 2 Char"/>
    <w:basedOn w:val="DefaultParagraphFont"/>
    <w:link w:val="Heading2"/>
    <w:uiPriority w:val="9"/>
    <w:rsid w:val="00473645"/>
    <w:rPr>
      <w:color w:val="000000"/>
      <w:szCs w:val="22"/>
      <w:shd w:val="clear" w:color="auto" w:fill="DEEAF6"/>
    </w:rPr>
  </w:style>
  <w:style w:type="paragraph" w:styleId="ListParagraph">
    <w:name w:val="List Paragraph"/>
    <w:basedOn w:val="Normal"/>
    <w:uiPriority w:val="34"/>
    <w:qFormat/>
    <w:rsid w:val="00473645"/>
    <w:pPr>
      <w:ind w:left="720"/>
      <w:contextualSpacing/>
    </w:pPr>
  </w:style>
  <w:style w:type="paragraph" w:styleId="Footer">
    <w:name w:val="footer"/>
    <w:basedOn w:val="Normal"/>
    <w:link w:val="FooterChar"/>
    <w:uiPriority w:val="99"/>
    <w:unhideWhenUsed/>
    <w:rsid w:val="00473645"/>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473645"/>
    <w:rPr>
      <w:rFonts w:asciiTheme="minorHAnsi" w:eastAsiaTheme="minorEastAsia" w:hAnsiTheme="minorHAnsi"/>
      <w:sz w:val="22"/>
      <w:szCs w:val="22"/>
    </w:rPr>
  </w:style>
  <w:style w:type="table" w:customStyle="1" w:styleId="GridTableLight">
    <w:name w:val="Grid Table Light"/>
    <w:basedOn w:val="TableNormal"/>
    <w:uiPriority w:val="40"/>
    <w:rsid w:val="00473645"/>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473645"/>
    <w:pPr>
      <w:shd w:val="clear" w:color="auto" w:fill="auto"/>
      <w:spacing w:before="240" w:after="0"/>
      <w:ind w:left="0" w:firstLine="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473645"/>
    <w:pPr>
      <w:spacing w:after="100"/>
      <w:ind w:left="0"/>
    </w:pPr>
  </w:style>
  <w:style w:type="paragraph" w:styleId="TOC2">
    <w:name w:val="toc 2"/>
    <w:basedOn w:val="Normal"/>
    <w:next w:val="Normal"/>
    <w:autoRedefine/>
    <w:uiPriority w:val="39"/>
    <w:unhideWhenUsed/>
    <w:rsid w:val="00473645"/>
    <w:pPr>
      <w:spacing w:after="100"/>
      <w:ind w:left="200"/>
    </w:pPr>
  </w:style>
  <w:style w:type="character" w:styleId="Hyperlink">
    <w:name w:val="Hyperlink"/>
    <w:basedOn w:val="DefaultParagraphFont"/>
    <w:uiPriority w:val="99"/>
    <w:unhideWhenUsed/>
    <w:rsid w:val="00473645"/>
    <w:rPr>
      <w:color w:val="0000FF" w:themeColor="hyperlink"/>
      <w:u w:val="single"/>
    </w:rPr>
  </w:style>
  <w:style w:type="paragraph" w:styleId="BalloonText">
    <w:name w:val="Balloon Text"/>
    <w:basedOn w:val="Normal"/>
    <w:link w:val="BalloonTextChar"/>
    <w:rsid w:val="00473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3645"/>
    <w:rPr>
      <w:rFonts w:ascii="Tahoma" w:hAnsi="Tahoma" w:cs="Tahoma"/>
      <w:color w:val="000000"/>
      <w:sz w:val="16"/>
      <w:szCs w:val="16"/>
    </w:rPr>
  </w:style>
  <w:style w:type="paragraph" w:styleId="Header">
    <w:name w:val="header"/>
    <w:basedOn w:val="Normal"/>
    <w:link w:val="HeaderChar"/>
    <w:rsid w:val="00473645"/>
    <w:pPr>
      <w:tabs>
        <w:tab w:val="center" w:pos="4680"/>
        <w:tab w:val="right" w:pos="9360"/>
      </w:tabs>
      <w:spacing w:after="0" w:line="240" w:lineRule="auto"/>
    </w:pPr>
  </w:style>
  <w:style w:type="character" w:customStyle="1" w:styleId="HeaderChar">
    <w:name w:val="Header Char"/>
    <w:basedOn w:val="DefaultParagraphFont"/>
    <w:link w:val="Header"/>
    <w:rsid w:val="00473645"/>
    <w:rPr>
      <w:color w:val="00000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645"/>
    <w:pPr>
      <w:spacing w:after="60" w:line="256" w:lineRule="auto"/>
      <w:ind w:left="10" w:hanging="10"/>
    </w:pPr>
    <w:rPr>
      <w:color w:val="000000"/>
      <w:szCs w:val="22"/>
    </w:rPr>
  </w:style>
  <w:style w:type="paragraph" w:styleId="Heading1">
    <w:name w:val="heading 1"/>
    <w:next w:val="Normal"/>
    <w:link w:val="Heading1Char"/>
    <w:uiPriority w:val="9"/>
    <w:unhideWhenUsed/>
    <w:qFormat/>
    <w:rsid w:val="00473645"/>
    <w:pPr>
      <w:keepNext/>
      <w:keepLines/>
      <w:shd w:val="clear" w:color="auto" w:fill="5B9BD5"/>
      <w:spacing w:after="178" w:line="259" w:lineRule="auto"/>
      <w:ind w:left="10" w:hanging="10"/>
      <w:outlineLvl w:val="0"/>
    </w:pPr>
    <w:rPr>
      <w:color w:val="FFFFFF"/>
      <w:sz w:val="22"/>
      <w:szCs w:val="22"/>
    </w:rPr>
  </w:style>
  <w:style w:type="paragraph" w:styleId="Heading2">
    <w:name w:val="heading 2"/>
    <w:next w:val="Normal"/>
    <w:link w:val="Heading2Char"/>
    <w:uiPriority w:val="9"/>
    <w:unhideWhenUsed/>
    <w:qFormat/>
    <w:rsid w:val="00473645"/>
    <w:pPr>
      <w:keepNext/>
      <w:keepLines/>
      <w:shd w:val="clear" w:color="auto" w:fill="DEEAF6"/>
      <w:spacing w:after="193" w:line="259" w:lineRule="auto"/>
      <w:ind w:left="10" w:hanging="10"/>
      <w:outlineLvl w:val="1"/>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645"/>
    <w:rPr>
      <w:color w:val="FFFFFF"/>
      <w:sz w:val="22"/>
      <w:szCs w:val="22"/>
      <w:shd w:val="clear" w:color="auto" w:fill="5B9BD5"/>
    </w:rPr>
  </w:style>
  <w:style w:type="character" w:customStyle="1" w:styleId="Heading2Char">
    <w:name w:val="Heading 2 Char"/>
    <w:basedOn w:val="DefaultParagraphFont"/>
    <w:link w:val="Heading2"/>
    <w:uiPriority w:val="9"/>
    <w:rsid w:val="00473645"/>
    <w:rPr>
      <w:color w:val="000000"/>
      <w:szCs w:val="22"/>
      <w:shd w:val="clear" w:color="auto" w:fill="DEEAF6"/>
    </w:rPr>
  </w:style>
  <w:style w:type="paragraph" w:styleId="ListParagraph">
    <w:name w:val="List Paragraph"/>
    <w:basedOn w:val="Normal"/>
    <w:uiPriority w:val="34"/>
    <w:qFormat/>
    <w:rsid w:val="00473645"/>
    <w:pPr>
      <w:ind w:left="720"/>
      <w:contextualSpacing/>
    </w:pPr>
  </w:style>
  <w:style w:type="paragraph" w:styleId="Footer">
    <w:name w:val="footer"/>
    <w:basedOn w:val="Normal"/>
    <w:link w:val="FooterChar"/>
    <w:uiPriority w:val="99"/>
    <w:unhideWhenUsed/>
    <w:rsid w:val="00473645"/>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473645"/>
    <w:rPr>
      <w:rFonts w:asciiTheme="minorHAnsi" w:eastAsiaTheme="minorEastAsia" w:hAnsiTheme="minorHAnsi"/>
      <w:sz w:val="22"/>
      <w:szCs w:val="22"/>
    </w:rPr>
  </w:style>
  <w:style w:type="table" w:customStyle="1" w:styleId="GridTableLight">
    <w:name w:val="Grid Table Light"/>
    <w:basedOn w:val="TableNormal"/>
    <w:uiPriority w:val="40"/>
    <w:rsid w:val="00473645"/>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473645"/>
    <w:pPr>
      <w:shd w:val="clear" w:color="auto" w:fill="auto"/>
      <w:spacing w:before="240" w:after="0"/>
      <w:ind w:left="0" w:firstLine="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473645"/>
    <w:pPr>
      <w:spacing w:after="100"/>
      <w:ind w:left="0"/>
    </w:pPr>
  </w:style>
  <w:style w:type="paragraph" w:styleId="TOC2">
    <w:name w:val="toc 2"/>
    <w:basedOn w:val="Normal"/>
    <w:next w:val="Normal"/>
    <w:autoRedefine/>
    <w:uiPriority w:val="39"/>
    <w:unhideWhenUsed/>
    <w:rsid w:val="00473645"/>
    <w:pPr>
      <w:spacing w:after="100"/>
      <w:ind w:left="200"/>
    </w:pPr>
  </w:style>
  <w:style w:type="character" w:styleId="Hyperlink">
    <w:name w:val="Hyperlink"/>
    <w:basedOn w:val="DefaultParagraphFont"/>
    <w:uiPriority w:val="99"/>
    <w:unhideWhenUsed/>
    <w:rsid w:val="00473645"/>
    <w:rPr>
      <w:color w:val="0000FF" w:themeColor="hyperlink"/>
      <w:u w:val="single"/>
    </w:rPr>
  </w:style>
  <w:style w:type="paragraph" w:styleId="BalloonText">
    <w:name w:val="Balloon Text"/>
    <w:basedOn w:val="Normal"/>
    <w:link w:val="BalloonTextChar"/>
    <w:rsid w:val="00473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3645"/>
    <w:rPr>
      <w:rFonts w:ascii="Tahoma" w:hAnsi="Tahoma" w:cs="Tahoma"/>
      <w:color w:val="000000"/>
      <w:sz w:val="16"/>
      <w:szCs w:val="16"/>
    </w:rPr>
  </w:style>
  <w:style w:type="paragraph" w:styleId="Header">
    <w:name w:val="header"/>
    <w:basedOn w:val="Normal"/>
    <w:link w:val="HeaderChar"/>
    <w:rsid w:val="00473645"/>
    <w:pPr>
      <w:tabs>
        <w:tab w:val="center" w:pos="4680"/>
        <w:tab w:val="right" w:pos="9360"/>
      </w:tabs>
      <w:spacing w:after="0" w:line="240" w:lineRule="auto"/>
    </w:pPr>
  </w:style>
  <w:style w:type="character" w:customStyle="1" w:styleId="HeaderChar">
    <w:name w:val="Header Char"/>
    <w:basedOn w:val="DefaultParagraphFont"/>
    <w:link w:val="Header"/>
    <w:rsid w:val="00473645"/>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1727</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Wilson</dc:creator>
  <cp:lastModifiedBy>Chuck Wilson</cp:lastModifiedBy>
  <cp:revision>1</cp:revision>
  <dcterms:created xsi:type="dcterms:W3CDTF">2017-11-14T19:14:00Z</dcterms:created>
  <dcterms:modified xsi:type="dcterms:W3CDTF">2017-11-14T19:34:00Z</dcterms:modified>
</cp:coreProperties>
</file>