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1DA36" w14:textId="77777777" w:rsidR="00F5791C" w:rsidRDefault="00F5791C" w:rsidP="00827526">
      <w:pPr>
        <w:pStyle w:val="NoSpacing"/>
      </w:pPr>
    </w:p>
    <w:p w14:paraId="789D01A9" w14:textId="77777777" w:rsidR="00B17BD3" w:rsidRPr="00827526" w:rsidRDefault="00827526" w:rsidP="00827526">
      <w:pPr>
        <w:pStyle w:val="NoSpacing"/>
        <w:jc w:val="center"/>
        <w:rPr>
          <w:b/>
          <w:sz w:val="24"/>
          <w:szCs w:val="24"/>
        </w:rPr>
      </w:pPr>
      <w:r w:rsidRPr="00827526">
        <w:rPr>
          <w:b/>
          <w:sz w:val="24"/>
          <w:szCs w:val="24"/>
        </w:rPr>
        <w:t>K</w:t>
      </w:r>
      <w:r w:rsidR="009E6865">
        <w:rPr>
          <w:b/>
          <w:sz w:val="24"/>
          <w:szCs w:val="24"/>
        </w:rPr>
        <w:t>ohn Law Firm Awarded the</w:t>
      </w:r>
      <w:r w:rsidRPr="00827526">
        <w:rPr>
          <w:b/>
          <w:sz w:val="24"/>
          <w:szCs w:val="24"/>
        </w:rPr>
        <w:t xml:space="preserve"> NARCA</w:t>
      </w:r>
      <w:r>
        <w:rPr>
          <w:b/>
          <w:sz w:val="24"/>
          <w:szCs w:val="24"/>
        </w:rPr>
        <w:t xml:space="preserve"> 2015</w:t>
      </w:r>
      <w:r w:rsidR="009E6865">
        <w:rPr>
          <w:b/>
          <w:sz w:val="24"/>
          <w:szCs w:val="24"/>
        </w:rPr>
        <w:t xml:space="preserve"> Community Service Award</w:t>
      </w:r>
    </w:p>
    <w:p w14:paraId="3A55AB81" w14:textId="77777777" w:rsidR="00827526" w:rsidRPr="00827526" w:rsidRDefault="00827526" w:rsidP="00827526">
      <w:pPr>
        <w:pStyle w:val="NoSpacing"/>
        <w:rPr>
          <w:b/>
          <w:sz w:val="16"/>
          <w:szCs w:val="16"/>
          <w:u w:val="single"/>
        </w:rPr>
      </w:pPr>
    </w:p>
    <w:p w14:paraId="03A13821" w14:textId="77777777" w:rsidR="00827526" w:rsidRPr="00827526" w:rsidRDefault="00827526" w:rsidP="00827526">
      <w:pPr>
        <w:pStyle w:val="NoSpacing"/>
        <w:rPr>
          <w:b/>
          <w:u w:val="single"/>
        </w:rPr>
      </w:pPr>
      <w:r w:rsidRPr="00827526">
        <w:rPr>
          <w:b/>
          <w:u w:val="single"/>
        </w:rPr>
        <w:t>FOR IMMEDIATE RELEASE</w:t>
      </w:r>
    </w:p>
    <w:p w14:paraId="5AF2E94F" w14:textId="77777777" w:rsidR="00827526" w:rsidRDefault="00827526" w:rsidP="00827526">
      <w:pPr>
        <w:pStyle w:val="NoSpacing"/>
      </w:pPr>
      <w:r>
        <w:t xml:space="preserve">October </w:t>
      </w:r>
      <w:r w:rsidR="009E6865">
        <w:t>20</w:t>
      </w:r>
      <w:r>
        <w:t>, 2015</w:t>
      </w:r>
    </w:p>
    <w:p w14:paraId="33ED52B1" w14:textId="77777777" w:rsidR="00827526" w:rsidRPr="00827526" w:rsidRDefault="00827526" w:rsidP="00827526">
      <w:pPr>
        <w:pStyle w:val="NoSpacing"/>
        <w:rPr>
          <w:sz w:val="16"/>
          <w:szCs w:val="16"/>
        </w:rPr>
      </w:pPr>
    </w:p>
    <w:p w14:paraId="328A25B8" w14:textId="77777777" w:rsidR="00181959" w:rsidRPr="00827526" w:rsidRDefault="00181959" w:rsidP="00827526">
      <w:pPr>
        <w:pStyle w:val="NoSpacing"/>
      </w:pPr>
      <w:r w:rsidRPr="00827526">
        <w:t xml:space="preserve">NARCA presented its 2015 Community Service Award to the Milwaukee, Wisconsin law firm, Kohn Law Firm, S.C. The award recognizes the NARCA member firm that has best demonstrated an overall firm commitment to and implementation of activities for the betterment of its community. </w:t>
      </w:r>
    </w:p>
    <w:p w14:paraId="78D5E061" w14:textId="77777777" w:rsidR="00827526" w:rsidRPr="00827526" w:rsidRDefault="00827526" w:rsidP="00827526">
      <w:pPr>
        <w:pStyle w:val="NoSpacing"/>
        <w:rPr>
          <w:sz w:val="16"/>
          <w:szCs w:val="16"/>
        </w:rPr>
      </w:pPr>
    </w:p>
    <w:p w14:paraId="400DCF97" w14:textId="77777777" w:rsidR="00181959" w:rsidRPr="00827526" w:rsidRDefault="00181959" w:rsidP="00827526">
      <w:pPr>
        <w:pStyle w:val="NoSpacing"/>
      </w:pPr>
      <w:r w:rsidRPr="00827526">
        <w:t>Kohn Law Firm, S.C. has a multifaceted approach to community service having multiple community service partners for events, volunteer hours, a</w:t>
      </w:r>
      <w:r w:rsidR="00F5791C" w:rsidRPr="00827526">
        <w:t>nd donations annually</w:t>
      </w:r>
      <w:r w:rsidRPr="00827526">
        <w:t xml:space="preserve">: </w:t>
      </w:r>
      <w:hyperlink r:id="rId7" w:history="1">
        <w:r w:rsidRPr="00827526">
          <w:rPr>
            <w:rStyle w:val="Hyperlink"/>
          </w:rPr>
          <w:t>Hunger Task Force</w:t>
        </w:r>
      </w:hyperlink>
      <w:r w:rsidR="00F5791C" w:rsidRPr="00827526">
        <w:t>,</w:t>
      </w:r>
      <w:r w:rsidRPr="00827526">
        <w:t xml:space="preserve"> </w:t>
      </w:r>
      <w:hyperlink r:id="rId8" w:history="1">
        <w:r w:rsidRPr="00827526">
          <w:rPr>
            <w:rStyle w:val="Hyperlink"/>
          </w:rPr>
          <w:t>American Heart Association</w:t>
        </w:r>
      </w:hyperlink>
      <w:r w:rsidRPr="00827526">
        <w:t xml:space="preserve">, and the </w:t>
      </w:r>
      <w:hyperlink r:id="rId9" w:history="1">
        <w:r w:rsidRPr="00827526">
          <w:rPr>
            <w:rStyle w:val="Hyperlink"/>
          </w:rPr>
          <w:t>Juvenile Diabetes Research Foundation</w:t>
        </w:r>
      </w:hyperlink>
      <w:r w:rsidRPr="00827526">
        <w:t xml:space="preserve">. The American Heart Association events </w:t>
      </w:r>
      <w:r w:rsidR="009E6865">
        <w:t>the firm participated in included National Wear Red Day and a</w:t>
      </w:r>
      <w:r w:rsidRPr="00827526">
        <w:t xml:space="preserve"> bake sale at the American Heart Association Walk. They sponsored</w:t>
      </w:r>
      <w:r w:rsidR="002B635D" w:rsidRPr="00827526">
        <w:t xml:space="preserve"> mile markers for the Diabetes Charity Run </w:t>
      </w:r>
      <w:r w:rsidRPr="00827526">
        <w:t>and held a wellness activity at the firm for glucose screenings</w:t>
      </w:r>
      <w:r w:rsidR="00F5791C" w:rsidRPr="00827526">
        <w:t xml:space="preserve"> to support the Juveniles Diabetes Research Foundation</w:t>
      </w:r>
      <w:r w:rsidRPr="00827526">
        <w:t>. The firm rounded out the end of the year with their annual support of Hunger Task Force – their most supp</w:t>
      </w:r>
      <w:r w:rsidR="00F5791C" w:rsidRPr="00827526">
        <w:t>orted event where food items were</w:t>
      </w:r>
      <w:r w:rsidRPr="00827526">
        <w:t xml:space="preserve"> sorted, trucks filled with food were unloaded</w:t>
      </w:r>
      <w:r w:rsidR="002B635D" w:rsidRPr="00827526">
        <w:t xml:space="preserve">, and wish-list gifts were purchased for children in need for the holiday season. </w:t>
      </w:r>
    </w:p>
    <w:p w14:paraId="6CE1B27D" w14:textId="77777777" w:rsidR="00827526" w:rsidRPr="00827526" w:rsidRDefault="00827526" w:rsidP="00827526">
      <w:pPr>
        <w:pStyle w:val="NoSpacing"/>
        <w:rPr>
          <w:sz w:val="16"/>
          <w:szCs w:val="16"/>
        </w:rPr>
      </w:pPr>
    </w:p>
    <w:p w14:paraId="29894F10" w14:textId="77777777" w:rsidR="002B635D" w:rsidRPr="00827526" w:rsidRDefault="002B635D" w:rsidP="00827526">
      <w:pPr>
        <w:pStyle w:val="NoSpacing"/>
      </w:pPr>
      <w:r w:rsidRPr="00827526">
        <w:t xml:space="preserve">In 2014, </w:t>
      </w:r>
      <w:r w:rsidR="009E6865">
        <w:t>the</w:t>
      </w:r>
      <w:bookmarkStart w:id="0" w:name="_GoBack"/>
      <w:bookmarkEnd w:id="0"/>
      <w:r w:rsidRPr="00827526">
        <w:t xml:space="preserve"> firm participated as the corporate sponsor of Operation Impact, a City of Milwaukee initiative through a local church. As Operation Impact’s corporate spo</w:t>
      </w:r>
      <w:r w:rsidR="00481E7B" w:rsidRPr="00827526">
        <w:t>nsor, Kohn Law Firm, S.C.</w:t>
      </w:r>
      <w:r w:rsidRPr="00827526">
        <w:t xml:space="preserve"> </w:t>
      </w:r>
      <w:r w:rsidR="00481E7B" w:rsidRPr="00827526">
        <w:t xml:space="preserve">assisted in </w:t>
      </w:r>
      <w:r w:rsidRPr="00827526">
        <w:t>fund</w:t>
      </w:r>
      <w:r w:rsidR="00481E7B" w:rsidRPr="00827526">
        <w:t>ing additional lights and</w:t>
      </w:r>
      <w:r w:rsidRPr="00827526">
        <w:t xml:space="preserve"> cameras </w:t>
      </w:r>
      <w:r w:rsidR="00481E7B" w:rsidRPr="00827526">
        <w:t>for</w:t>
      </w:r>
      <w:r w:rsidRPr="00827526">
        <w:t xml:space="preserve"> alleys in known crime-ridden areas to ensu</w:t>
      </w:r>
      <w:r w:rsidR="00481E7B" w:rsidRPr="00827526">
        <w:t>re that their community is safe and to improve the quality of life for Milwaukee citizens.</w:t>
      </w:r>
      <w:r w:rsidRPr="00827526">
        <w:t xml:space="preserve"> </w:t>
      </w:r>
    </w:p>
    <w:p w14:paraId="13AAD0C9" w14:textId="77777777" w:rsidR="00827526" w:rsidRPr="00827526" w:rsidRDefault="00827526" w:rsidP="00827526">
      <w:pPr>
        <w:pStyle w:val="NoSpacing"/>
        <w:rPr>
          <w:sz w:val="16"/>
          <w:szCs w:val="16"/>
        </w:rPr>
      </w:pPr>
    </w:p>
    <w:p w14:paraId="1B187CCC" w14:textId="77777777" w:rsidR="002B635D" w:rsidRPr="00827526" w:rsidRDefault="002B635D" w:rsidP="00827526">
      <w:pPr>
        <w:pStyle w:val="NoSpacing"/>
      </w:pPr>
      <w:r w:rsidRPr="00827526">
        <w:t xml:space="preserve">The award for their outstanding community service efforts was presented at the NARCA 2015 Fall Collection Conference in Washington, D.C. on October </w:t>
      </w:r>
      <w:r w:rsidR="00481E7B" w:rsidRPr="00827526">
        <w:t>16</w:t>
      </w:r>
      <w:r w:rsidRPr="00827526">
        <w:rPr>
          <w:vertAlign w:val="superscript"/>
        </w:rPr>
        <w:t>th</w:t>
      </w:r>
      <w:r w:rsidRPr="00827526">
        <w:t xml:space="preserve"> and included a NARCA donation of $1,000 to </w:t>
      </w:r>
      <w:hyperlink r:id="rId10" w:history="1">
        <w:r w:rsidRPr="00827526">
          <w:rPr>
            <w:rStyle w:val="Hyperlink"/>
          </w:rPr>
          <w:t>Hunger Task Force</w:t>
        </w:r>
      </w:hyperlink>
      <w:r w:rsidRPr="00827526">
        <w:t xml:space="preserve">. </w:t>
      </w:r>
    </w:p>
    <w:p w14:paraId="1578666B" w14:textId="77777777" w:rsidR="00827526" w:rsidRPr="00827526" w:rsidRDefault="00827526" w:rsidP="00827526">
      <w:pPr>
        <w:spacing w:after="0" w:line="240" w:lineRule="auto"/>
        <w:rPr>
          <w:rFonts w:ascii="Calibri" w:eastAsia="Calibri" w:hAnsi="Calibri" w:cs="Calibri"/>
          <w:sz w:val="16"/>
          <w:szCs w:val="16"/>
          <w:u w:val="single"/>
        </w:rPr>
      </w:pPr>
    </w:p>
    <w:p w14:paraId="46FDD536" w14:textId="77777777" w:rsidR="00827526" w:rsidRPr="00827526" w:rsidRDefault="00827526" w:rsidP="00827526">
      <w:pPr>
        <w:spacing w:after="0" w:line="240" w:lineRule="auto"/>
        <w:rPr>
          <w:rFonts w:ascii="Calibri" w:eastAsia="Calibri" w:hAnsi="Calibri" w:cs="Calibri"/>
          <w:u w:val="single"/>
        </w:rPr>
      </w:pPr>
      <w:r w:rsidRPr="00827526">
        <w:rPr>
          <w:rFonts w:ascii="Calibri" w:eastAsia="Calibri" w:hAnsi="Calibri" w:cs="Calibri"/>
          <w:u w:val="single"/>
        </w:rPr>
        <w:t>Contact Information</w:t>
      </w:r>
    </w:p>
    <w:p w14:paraId="12E95741" w14:textId="77777777" w:rsidR="00827526" w:rsidRPr="00827526" w:rsidRDefault="00827526" w:rsidP="00827526">
      <w:pPr>
        <w:spacing w:after="0" w:line="240" w:lineRule="auto"/>
        <w:rPr>
          <w:rFonts w:ascii="Calibri" w:eastAsia="Calibri" w:hAnsi="Calibri" w:cs="Calibri"/>
        </w:rPr>
      </w:pPr>
      <w:r w:rsidRPr="00827526">
        <w:rPr>
          <w:rFonts w:ascii="Calibri" w:eastAsia="Calibri" w:hAnsi="Calibri" w:cs="Calibri"/>
        </w:rPr>
        <w:t>Jim Podewitz</w:t>
      </w:r>
    </w:p>
    <w:p w14:paraId="1CC51BE7" w14:textId="77777777" w:rsidR="00827526" w:rsidRPr="00827526" w:rsidRDefault="00827526" w:rsidP="00827526">
      <w:pPr>
        <w:spacing w:after="0" w:line="240" w:lineRule="auto"/>
        <w:rPr>
          <w:rFonts w:ascii="Calibri" w:eastAsia="Calibri" w:hAnsi="Calibri" w:cs="Calibri"/>
        </w:rPr>
      </w:pPr>
      <w:r w:rsidRPr="00827526">
        <w:rPr>
          <w:rFonts w:ascii="Calibri" w:eastAsia="Calibri" w:hAnsi="Calibri" w:cs="Calibri"/>
        </w:rPr>
        <w:t>Communications Specialist</w:t>
      </w:r>
    </w:p>
    <w:p w14:paraId="50CC24BD" w14:textId="77777777" w:rsidR="00827526" w:rsidRPr="00827526" w:rsidRDefault="00827526" w:rsidP="00827526">
      <w:pPr>
        <w:spacing w:after="0" w:line="240" w:lineRule="auto"/>
        <w:rPr>
          <w:rFonts w:ascii="Calibri" w:eastAsia="Calibri" w:hAnsi="Calibri" w:cs="Calibri"/>
        </w:rPr>
      </w:pPr>
      <w:r w:rsidRPr="00827526">
        <w:rPr>
          <w:rFonts w:ascii="Calibri" w:eastAsia="Calibri" w:hAnsi="Calibri" w:cs="Calibri"/>
        </w:rPr>
        <w:t>NARCA – The National Creditors Bar Association</w:t>
      </w:r>
    </w:p>
    <w:p w14:paraId="42AA4CDD" w14:textId="77777777" w:rsidR="00827526" w:rsidRPr="00827526" w:rsidRDefault="00827526" w:rsidP="00827526">
      <w:pPr>
        <w:spacing w:after="0" w:line="240" w:lineRule="auto"/>
        <w:rPr>
          <w:rFonts w:ascii="Calibri" w:eastAsia="Calibri" w:hAnsi="Calibri" w:cs="Calibri"/>
        </w:rPr>
      </w:pPr>
      <w:r w:rsidRPr="00827526">
        <w:rPr>
          <w:rFonts w:ascii="Calibri" w:eastAsia="Calibri" w:hAnsi="Calibri" w:cs="Calibri"/>
        </w:rPr>
        <w:t>Direct: 202-861-0706</w:t>
      </w:r>
    </w:p>
    <w:p w14:paraId="1A538AD6" w14:textId="77777777" w:rsidR="00827526" w:rsidRPr="00827526" w:rsidRDefault="00827526" w:rsidP="00827526">
      <w:pPr>
        <w:spacing w:after="0" w:line="240" w:lineRule="auto"/>
        <w:rPr>
          <w:rFonts w:ascii="Calibri" w:eastAsia="Calibri" w:hAnsi="Calibri" w:cs="Calibri"/>
        </w:rPr>
      </w:pPr>
      <w:r w:rsidRPr="00827526">
        <w:rPr>
          <w:rFonts w:ascii="Calibri" w:eastAsia="Calibri" w:hAnsi="Calibri" w:cs="Calibri"/>
        </w:rPr>
        <w:t xml:space="preserve">Email: </w:t>
      </w:r>
      <w:hyperlink r:id="rId11" w:history="1">
        <w:r w:rsidRPr="00827526">
          <w:rPr>
            <w:rFonts w:ascii="Calibri" w:eastAsia="Calibri" w:hAnsi="Calibri" w:cs="Calibri"/>
            <w:color w:val="0000FF"/>
            <w:u w:val="single"/>
          </w:rPr>
          <w:t>jim@narca.org</w:t>
        </w:r>
      </w:hyperlink>
    </w:p>
    <w:p w14:paraId="1201F156" w14:textId="77777777" w:rsidR="00827526" w:rsidRPr="00827526" w:rsidRDefault="00827526" w:rsidP="00827526">
      <w:pPr>
        <w:spacing w:after="0" w:line="240" w:lineRule="auto"/>
        <w:rPr>
          <w:rFonts w:ascii="Calibri" w:eastAsia="Calibri" w:hAnsi="Calibri" w:cs="Calibri"/>
        </w:rPr>
      </w:pPr>
      <w:r w:rsidRPr="00827526">
        <w:rPr>
          <w:rFonts w:ascii="Calibri" w:eastAsia="Calibri" w:hAnsi="Calibri" w:cs="Calibri"/>
        </w:rPr>
        <w:t xml:space="preserve">Web: </w:t>
      </w:r>
      <w:hyperlink r:id="rId12" w:history="1">
        <w:r w:rsidRPr="00827526">
          <w:rPr>
            <w:rFonts w:ascii="Calibri" w:eastAsia="Calibri" w:hAnsi="Calibri" w:cs="Calibri"/>
            <w:color w:val="0000FF"/>
            <w:u w:val="single"/>
          </w:rPr>
          <w:t>www.narca.org</w:t>
        </w:r>
      </w:hyperlink>
    </w:p>
    <w:p w14:paraId="6F942F8E" w14:textId="77777777" w:rsidR="00827526" w:rsidRPr="00827526" w:rsidRDefault="00827526" w:rsidP="00827526">
      <w:pPr>
        <w:spacing w:after="0" w:line="240" w:lineRule="auto"/>
        <w:rPr>
          <w:rFonts w:ascii="Calibri" w:eastAsia="Calibri" w:hAnsi="Calibri" w:cs="Calibri"/>
          <w:sz w:val="16"/>
          <w:szCs w:val="16"/>
        </w:rPr>
      </w:pPr>
    </w:p>
    <w:p w14:paraId="22F14716" w14:textId="77777777" w:rsidR="00827526" w:rsidRPr="00827526" w:rsidRDefault="00827526" w:rsidP="00827526">
      <w:pPr>
        <w:spacing w:after="0" w:line="240" w:lineRule="auto"/>
        <w:rPr>
          <w:rFonts w:ascii="Calibri" w:eastAsia="Calibri" w:hAnsi="Calibri" w:cs="Times New Roman"/>
        </w:rPr>
      </w:pPr>
      <w:r w:rsidRPr="00827526">
        <w:rPr>
          <w:rFonts w:ascii="Calibri" w:eastAsia="Calibri" w:hAnsi="Calibri" w:cs="Calibri"/>
        </w:rPr>
        <w:t xml:space="preserve">NARCA – The National Creditors Bar Association is a nationwide professional trade association of over 600 creditors rights law firms and in‐house counsel of creditors.  NARCA members are committed to being professional, responsible and ethical in their practice of creditors rights law.  </w:t>
      </w:r>
    </w:p>
    <w:p w14:paraId="1D40CB12" w14:textId="77777777" w:rsidR="00827526" w:rsidRPr="00827526" w:rsidRDefault="00827526"/>
    <w:sectPr w:rsidR="00827526" w:rsidRPr="00827526" w:rsidSect="00827526">
      <w:headerReference w:type="default" r:id="rId13"/>
      <w:footerReference w:type="default" r:id="rId14"/>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99D59" w14:textId="77777777" w:rsidR="0067764E" w:rsidRDefault="0067764E" w:rsidP="00F5791C">
      <w:pPr>
        <w:spacing w:after="0" w:line="240" w:lineRule="auto"/>
      </w:pPr>
      <w:r>
        <w:separator/>
      </w:r>
    </w:p>
  </w:endnote>
  <w:endnote w:type="continuationSeparator" w:id="0">
    <w:p w14:paraId="0B3938A3" w14:textId="77777777" w:rsidR="0067764E" w:rsidRDefault="0067764E" w:rsidP="00F5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827526" w:rsidRPr="00827526" w14:paraId="10A7C2C5" w14:textId="77777777" w:rsidTr="003D6918">
      <w:tc>
        <w:tcPr>
          <w:tcW w:w="918" w:type="dxa"/>
        </w:tcPr>
        <w:p w14:paraId="7A94093B" w14:textId="77777777" w:rsidR="00827526" w:rsidRPr="00827526" w:rsidRDefault="00827526" w:rsidP="00827526">
          <w:pPr>
            <w:tabs>
              <w:tab w:val="center" w:pos="4680"/>
              <w:tab w:val="right" w:pos="9360"/>
            </w:tabs>
            <w:spacing w:after="0" w:line="240" w:lineRule="auto"/>
            <w:jc w:val="right"/>
            <w:rPr>
              <w:rFonts w:ascii="Calibri" w:eastAsia="Calibri" w:hAnsi="Calibri" w:cs="Times New Roman"/>
              <w:b/>
              <w:color w:val="4F81BD"/>
              <w:sz w:val="32"/>
              <w:szCs w:val="32"/>
            </w:rPr>
          </w:pPr>
          <w:r w:rsidRPr="00827526">
            <w:rPr>
              <w:rFonts w:ascii="Calibri" w:eastAsia="Calibri" w:hAnsi="Calibri" w:cs="Times New Roman"/>
            </w:rPr>
            <w:fldChar w:fldCharType="begin"/>
          </w:r>
          <w:r w:rsidRPr="00827526">
            <w:rPr>
              <w:rFonts w:ascii="Calibri" w:eastAsia="Calibri" w:hAnsi="Calibri" w:cs="Times New Roman"/>
            </w:rPr>
            <w:instrText xml:space="preserve"> PAGE   \* MERGEFORMAT </w:instrText>
          </w:r>
          <w:r w:rsidRPr="00827526">
            <w:rPr>
              <w:rFonts w:ascii="Calibri" w:eastAsia="Calibri" w:hAnsi="Calibri" w:cs="Times New Roman"/>
            </w:rPr>
            <w:fldChar w:fldCharType="separate"/>
          </w:r>
          <w:r w:rsidR="009E6865" w:rsidRPr="009E6865">
            <w:rPr>
              <w:rFonts w:ascii="Calibri" w:eastAsia="Calibri" w:hAnsi="Calibri" w:cs="Times New Roman"/>
              <w:b/>
              <w:noProof/>
              <w:color w:val="4F81BD"/>
              <w:sz w:val="32"/>
              <w:szCs w:val="32"/>
            </w:rPr>
            <w:t>1</w:t>
          </w:r>
          <w:r w:rsidRPr="00827526">
            <w:rPr>
              <w:rFonts w:ascii="Calibri" w:eastAsia="Calibri" w:hAnsi="Calibri" w:cs="Times New Roman"/>
            </w:rPr>
            <w:fldChar w:fldCharType="end"/>
          </w:r>
        </w:p>
      </w:tc>
      <w:tc>
        <w:tcPr>
          <w:tcW w:w="7938" w:type="dxa"/>
        </w:tcPr>
        <w:p w14:paraId="1C330AF5" w14:textId="77777777" w:rsidR="00827526" w:rsidRPr="00827526" w:rsidRDefault="00827526" w:rsidP="00827526">
          <w:pPr>
            <w:tabs>
              <w:tab w:val="center" w:pos="4680"/>
              <w:tab w:val="right" w:pos="9360"/>
            </w:tabs>
            <w:spacing w:after="0" w:line="240" w:lineRule="auto"/>
            <w:rPr>
              <w:rFonts w:ascii="Calibri" w:eastAsia="Calibri" w:hAnsi="Calibri" w:cs="Times New Roman"/>
            </w:rPr>
          </w:pPr>
          <w:r w:rsidRPr="00827526">
            <w:rPr>
              <w:rFonts w:ascii="Calibri" w:eastAsia="Calibri" w:hAnsi="Calibri" w:cs="Times New Roman"/>
            </w:rPr>
            <w:t>NARCA – The National Creditors Bar Association</w:t>
          </w:r>
        </w:p>
        <w:p w14:paraId="6D38097B" w14:textId="77777777" w:rsidR="00827526" w:rsidRPr="00827526" w:rsidRDefault="00827526" w:rsidP="00827526">
          <w:pPr>
            <w:tabs>
              <w:tab w:val="center" w:pos="4680"/>
              <w:tab w:val="right" w:pos="9360"/>
            </w:tabs>
            <w:spacing w:after="0" w:line="240" w:lineRule="auto"/>
            <w:rPr>
              <w:rFonts w:ascii="Calibri" w:eastAsia="Calibri" w:hAnsi="Calibri" w:cs="Times New Roman"/>
            </w:rPr>
          </w:pPr>
          <w:r w:rsidRPr="00827526">
            <w:rPr>
              <w:rFonts w:ascii="Calibri" w:eastAsia="Calibri" w:hAnsi="Calibri" w:cs="Times New Roman"/>
            </w:rPr>
            <w:t>601 Pennsylvania Avenue, NW, Suite 900 South, Washington, D. C.   20004</w:t>
          </w:r>
        </w:p>
        <w:p w14:paraId="19D0A188" w14:textId="77777777" w:rsidR="00827526" w:rsidRPr="00827526" w:rsidRDefault="00827526" w:rsidP="00827526">
          <w:pPr>
            <w:tabs>
              <w:tab w:val="center" w:pos="4680"/>
              <w:tab w:val="right" w:pos="9360"/>
            </w:tabs>
            <w:spacing w:after="0" w:line="240" w:lineRule="auto"/>
            <w:rPr>
              <w:rFonts w:ascii="Calibri" w:eastAsia="Calibri" w:hAnsi="Calibri" w:cs="Times New Roman"/>
            </w:rPr>
          </w:pPr>
          <w:r w:rsidRPr="00827526">
            <w:rPr>
              <w:rFonts w:ascii="Calibri" w:eastAsia="Calibri" w:hAnsi="Calibri" w:cs="Times New Roman"/>
            </w:rPr>
            <w:t>202-861-0706   Fax 240-559-0959</w:t>
          </w:r>
        </w:p>
        <w:p w14:paraId="73D19CF8" w14:textId="77777777" w:rsidR="00827526" w:rsidRPr="00827526" w:rsidRDefault="00827526" w:rsidP="00827526">
          <w:pPr>
            <w:tabs>
              <w:tab w:val="center" w:pos="4680"/>
              <w:tab w:val="right" w:pos="9360"/>
            </w:tabs>
            <w:spacing w:after="0" w:line="240" w:lineRule="auto"/>
            <w:rPr>
              <w:rFonts w:ascii="Calibri" w:eastAsia="Calibri" w:hAnsi="Calibri" w:cs="Times New Roman"/>
            </w:rPr>
          </w:pPr>
          <w:r w:rsidRPr="00827526">
            <w:rPr>
              <w:rFonts w:ascii="Calibri" w:eastAsia="Calibri" w:hAnsi="Calibri" w:cs="Times New Roman"/>
            </w:rPr>
            <w:t xml:space="preserve">Operations:  8043 Cooper Creek Blvd, Ste 206, University Park, FL 34201   </w:t>
          </w:r>
        </w:p>
        <w:p w14:paraId="4B7FC9A2" w14:textId="77777777" w:rsidR="00827526" w:rsidRPr="00827526" w:rsidRDefault="009E6865" w:rsidP="00827526">
          <w:pPr>
            <w:tabs>
              <w:tab w:val="center" w:pos="4680"/>
              <w:tab w:val="right" w:pos="9360"/>
            </w:tabs>
            <w:spacing w:after="0" w:line="240" w:lineRule="auto"/>
            <w:rPr>
              <w:rFonts w:ascii="Calibri" w:eastAsia="Calibri" w:hAnsi="Calibri" w:cs="Times New Roman"/>
            </w:rPr>
          </w:pPr>
          <w:hyperlink r:id="rId1" w:history="1">
            <w:r w:rsidR="00827526" w:rsidRPr="00827526">
              <w:rPr>
                <w:rFonts w:ascii="Calibri" w:eastAsia="Calibri" w:hAnsi="Calibri" w:cs="Times New Roman"/>
                <w:color w:val="0000FF"/>
                <w:u w:val="single"/>
              </w:rPr>
              <w:t>narca@narca.org</w:t>
            </w:r>
          </w:hyperlink>
          <w:r w:rsidR="00827526" w:rsidRPr="00827526">
            <w:rPr>
              <w:rFonts w:ascii="Calibri" w:eastAsia="Calibri" w:hAnsi="Calibri" w:cs="Times New Roman"/>
            </w:rPr>
            <w:t xml:space="preserve">   </w:t>
          </w:r>
          <w:hyperlink r:id="rId2" w:history="1">
            <w:r w:rsidR="00827526" w:rsidRPr="00827526">
              <w:rPr>
                <w:rFonts w:ascii="Calibri" w:eastAsia="Calibri" w:hAnsi="Calibri" w:cs="Times New Roman"/>
                <w:color w:val="0000FF"/>
                <w:u w:val="single"/>
              </w:rPr>
              <w:t>www.narca.org</w:t>
            </w:r>
          </w:hyperlink>
        </w:p>
        <w:p w14:paraId="0067294B" w14:textId="77777777" w:rsidR="00827526" w:rsidRPr="00827526" w:rsidRDefault="00827526" w:rsidP="00827526">
          <w:pPr>
            <w:tabs>
              <w:tab w:val="center" w:pos="4680"/>
              <w:tab w:val="right" w:pos="9360"/>
            </w:tabs>
            <w:spacing w:after="0" w:line="240" w:lineRule="auto"/>
            <w:rPr>
              <w:rFonts w:ascii="Calibri" w:eastAsia="Calibri" w:hAnsi="Calibri" w:cs="Times New Roman"/>
            </w:rPr>
          </w:pPr>
        </w:p>
      </w:tc>
    </w:tr>
  </w:tbl>
  <w:p w14:paraId="0EE7AC9A" w14:textId="77777777" w:rsidR="00827526" w:rsidRPr="00F812DB" w:rsidRDefault="00827526" w:rsidP="00827526">
    <w:pPr>
      <w:pStyle w:val="Footer"/>
      <w:rPr>
        <w:b/>
        <w:color w:val="4F81BD"/>
        <w:sz w:val="32"/>
        <w:szCs w:val="32"/>
      </w:rPr>
    </w:pPr>
  </w:p>
  <w:p w14:paraId="68D55828" w14:textId="77777777" w:rsidR="00827526" w:rsidRDefault="008275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B2E3B" w14:textId="77777777" w:rsidR="0067764E" w:rsidRDefault="0067764E" w:rsidP="00F5791C">
      <w:pPr>
        <w:spacing w:after="0" w:line="240" w:lineRule="auto"/>
      </w:pPr>
      <w:r>
        <w:separator/>
      </w:r>
    </w:p>
  </w:footnote>
  <w:footnote w:type="continuationSeparator" w:id="0">
    <w:p w14:paraId="21E97191" w14:textId="77777777" w:rsidR="0067764E" w:rsidRDefault="0067764E" w:rsidP="00F5791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ED512" w14:textId="77777777" w:rsidR="00F5791C" w:rsidRDefault="00F5791C" w:rsidP="00F5791C">
    <w:pPr>
      <w:pStyle w:val="Header"/>
      <w:jc w:val="center"/>
    </w:pPr>
    <w:r>
      <w:rPr>
        <w:noProof/>
      </w:rPr>
      <w:drawing>
        <wp:inline distT="0" distB="0" distL="0" distR="0" wp14:anchorId="11C858CC" wp14:editId="4E033BB6">
          <wp:extent cx="3303025" cy="1194163"/>
          <wp:effectExtent l="0" t="0" r="0" b="6350"/>
          <wp:docPr id="1" name="Picture 1" descr="C:\Users\Lyndsey Cantees\Desktop\New Narca Logos\NARCA20 Logo -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sey Cantees\Desktop\New Narca Logos\NARCA20 Logo - No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6308" cy="11989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59"/>
    <w:rsid w:val="00025218"/>
    <w:rsid w:val="00046BAD"/>
    <w:rsid w:val="000A122E"/>
    <w:rsid w:val="000A1FD7"/>
    <w:rsid w:val="000A781B"/>
    <w:rsid w:val="000B50E3"/>
    <w:rsid w:val="000E05AD"/>
    <w:rsid w:val="001246FC"/>
    <w:rsid w:val="00146B46"/>
    <w:rsid w:val="0016400A"/>
    <w:rsid w:val="00165F02"/>
    <w:rsid w:val="00172E9D"/>
    <w:rsid w:val="00181959"/>
    <w:rsid w:val="001A7C87"/>
    <w:rsid w:val="001E20A8"/>
    <w:rsid w:val="001F4FFE"/>
    <w:rsid w:val="00264C98"/>
    <w:rsid w:val="002B635D"/>
    <w:rsid w:val="002C1ABD"/>
    <w:rsid w:val="00325B58"/>
    <w:rsid w:val="003E5A0C"/>
    <w:rsid w:val="004346C3"/>
    <w:rsid w:val="00481E7B"/>
    <w:rsid w:val="0049027E"/>
    <w:rsid w:val="00571CF6"/>
    <w:rsid w:val="005E0BEB"/>
    <w:rsid w:val="005F01AF"/>
    <w:rsid w:val="00640C48"/>
    <w:rsid w:val="00655BD5"/>
    <w:rsid w:val="00675642"/>
    <w:rsid w:val="0067764E"/>
    <w:rsid w:val="006C7D19"/>
    <w:rsid w:val="00720CE6"/>
    <w:rsid w:val="007318D5"/>
    <w:rsid w:val="0074506A"/>
    <w:rsid w:val="007519C9"/>
    <w:rsid w:val="007811CE"/>
    <w:rsid w:val="007B0309"/>
    <w:rsid w:val="007B24FF"/>
    <w:rsid w:val="007C6478"/>
    <w:rsid w:val="007C6F89"/>
    <w:rsid w:val="00800D75"/>
    <w:rsid w:val="00821746"/>
    <w:rsid w:val="00827526"/>
    <w:rsid w:val="0088307A"/>
    <w:rsid w:val="00892D0A"/>
    <w:rsid w:val="008A1FD1"/>
    <w:rsid w:val="008D552C"/>
    <w:rsid w:val="008D6096"/>
    <w:rsid w:val="008E59A3"/>
    <w:rsid w:val="00947D39"/>
    <w:rsid w:val="00962B9D"/>
    <w:rsid w:val="0097456A"/>
    <w:rsid w:val="009C0964"/>
    <w:rsid w:val="009C2BC7"/>
    <w:rsid w:val="009E6865"/>
    <w:rsid w:val="00A0022F"/>
    <w:rsid w:val="00A12FAF"/>
    <w:rsid w:val="00B15C14"/>
    <w:rsid w:val="00B17ABD"/>
    <w:rsid w:val="00B17BD3"/>
    <w:rsid w:val="00BA06BF"/>
    <w:rsid w:val="00BB514B"/>
    <w:rsid w:val="00C14BC3"/>
    <w:rsid w:val="00C8587C"/>
    <w:rsid w:val="00DA0DCE"/>
    <w:rsid w:val="00DA7DE3"/>
    <w:rsid w:val="00DF4088"/>
    <w:rsid w:val="00E125A2"/>
    <w:rsid w:val="00E179DC"/>
    <w:rsid w:val="00E75260"/>
    <w:rsid w:val="00F5013B"/>
    <w:rsid w:val="00F5791C"/>
    <w:rsid w:val="00F61DB7"/>
    <w:rsid w:val="00F96B4E"/>
    <w:rsid w:val="00FC0130"/>
    <w:rsid w:val="00FE6CE6"/>
    <w:rsid w:val="00FF7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E1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35D"/>
    <w:rPr>
      <w:color w:val="0000FF" w:themeColor="hyperlink"/>
      <w:u w:val="single"/>
    </w:rPr>
  </w:style>
  <w:style w:type="paragraph" w:styleId="Header">
    <w:name w:val="header"/>
    <w:basedOn w:val="Normal"/>
    <w:link w:val="HeaderChar"/>
    <w:uiPriority w:val="99"/>
    <w:unhideWhenUsed/>
    <w:rsid w:val="00F57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91C"/>
  </w:style>
  <w:style w:type="paragraph" w:styleId="Footer">
    <w:name w:val="footer"/>
    <w:basedOn w:val="Normal"/>
    <w:link w:val="FooterChar"/>
    <w:uiPriority w:val="99"/>
    <w:unhideWhenUsed/>
    <w:rsid w:val="00F57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91C"/>
  </w:style>
  <w:style w:type="paragraph" w:styleId="BalloonText">
    <w:name w:val="Balloon Text"/>
    <w:basedOn w:val="Normal"/>
    <w:link w:val="BalloonTextChar"/>
    <w:uiPriority w:val="99"/>
    <w:semiHidden/>
    <w:unhideWhenUsed/>
    <w:rsid w:val="00F57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91C"/>
    <w:rPr>
      <w:rFonts w:ascii="Tahoma" w:hAnsi="Tahoma" w:cs="Tahoma"/>
      <w:sz w:val="16"/>
      <w:szCs w:val="16"/>
    </w:rPr>
  </w:style>
  <w:style w:type="paragraph" w:styleId="NoSpacing">
    <w:name w:val="No Spacing"/>
    <w:uiPriority w:val="1"/>
    <w:qFormat/>
    <w:rsid w:val="00F5791C"/>
    <w:pPr>
      <w:spacing w:after="0" w:line="240" w:lineRule="auto"/>
    </w:pPr>
  </w:style>
  <w:style w:type="character" w:styleId="FollowedHyperlink">
    <w:name w:val="FollowedHyperlink"/>
    <w:basedOn w:val="DefaultParagraphFont"/>
    <w:uiPriority w:val="99"/>
    <w:semiHidden/>
    <w:unhideWhenUsed/>
    <w:rsid w:val="00F5791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35D"/>
    <w:rPr>
      <w:color w:val="0000FF" w:themeColor="hyperlink"/>
      <w:u w:val="single"/>
    </w:rPr>
  </w:style>
  <w:style w:type="paragraph" w:styleId="Header">
    <w:name w:val="header"/>
    <w:basedOn w:val="Normal"/>
    <w:link w:val="HeaderChar"/>
    <w:uiPriority w:val="99"/>
    <w:unhideWhenUsed/>
    <w:rsid w:val="00F57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91C"/>
  </w:style>
  <w:style w:type="paragraph" w:styleId="Footer">
    <w:name w:val="footer"/>
    <w:basedOn w:val="Normal"/>
    <w:link w:val="FooterChar"/>
    <w:uiPriority w:val="99"/>
    <w:unhideWhenUsed/>
    <w:rsid w:val="00F57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91C"/>
  </w:style>
  <w:style w:type="paragraph" w:styleId="BalloonText">
    <w:name w:val="Balloon Text"/>
    <w:basedOn w:val="Normal"/>
    <w:link w:val="BalloonTextChar"/>
    <w:uiPriority w:val="99"/>
    <w:semiHidden/>
    <w:unhideWhenUsed/>
    <w:rsid w:val="00F57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91C"/>
    <w:rPr>
      <w:rFonts w:ascii="Tahoma" w:hAnsi="Tahoma" w:cs="Tahoma"/>
      <w:sz w:val="16"/>
      <w:szCs w:val="16"/>
    </w:rPr>
  </w:style>
  <w:style w:type="paragraph" w:styleId="NoSpacing">
    <w:name w:val="No Spacing"/>
    <w:uiPriority w:val="1"/>
    <w:qFormat/>
    <w:rsid w:val="00F5791C"/>
    <w:pPr>
      <w:spacing w:after="0" w:line="240" w:lineRule="auto"/>
    </w:pPr>
  </w:style>
  <w:style w:type="character" w:styleId="FollowedHyperlink">
    <w:name w:val="FollowedHyperlink"/>
    <w:basedOn w:val="DefaultParagraphFont"/>
    <w:uiPriority w:val="99"/>
    <w:semiHidden/>
    <w:unhideWhenUsed/>
    <w:rsid w:val="00F579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im@narca.org" TargetMode="External"/><Relationship Id="rId12" Type="http://schemas.openxmlformats.org/officeDocument/2006/relationships/hyperlink" Target="http://www.narca.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ungertaskforce.org/about-us/" TargetMode="External"/><Relationship Id="rId8" Type="http://schemas.openxmlformats.org/officeDocument/2006/relationships/hyperlink" Target="http://www.heart.org/HEARTORG/General/About-Us---American-Heart-Association_UCM_305422_SubHomePage.jsp" TargetMode="External"/><Relationship Id="rId9" Type="http://schemas.openxmlformats.org/officeDocument/2006/relationships/hyperlink" Target="http://jdrf.org/about/" TargetMode="External"/><Relationship Id="rId10" Type="http://schemas.openxmlformats.org/officeDocument/2006/relationships/hyperlink" Target="http://www.hungertaskforce.org/donations/donate-mone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arca@narca.org" TargetMode="External"/><Relationship Id="rId2" Type="http://schemas.openxmlformats.org/officeDocument/2006/relationships/hyperlink" Target="http://www.nar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396</Words>
  <Characters>2255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Cantees</dc:creator>
  <cp:lastModifiedBy>Jim Podewitz</cp:lastModifiedBy>
  <cp:revision>3</cp:revision>
  <dcterms:created xsi:type="dcterms:W3CDTF">2015-10-07T13:41:00Z</dcterms:created>
  <dcterms:modified xsi:type="dcterms:W3CDTF">2015-10-21T12:19:00Z</dcterms:modified>
</cp:coreProperties>
</file>