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1C2A3" w14:textId="77777777" w:rsidR="00A44806" w:rsidRPr="008A0AA9" w:rsidRDefault="00A44806" w:rsidP="00307A33">
      <w:pPr>
        <w:pStyle w:val="NoSpacing"/>
        <w:jc w:val="center"/>
        <w:rPr>
          <w:b/>
          <w:sz w:val="16"/>
          <w:szCs w:val="16"/>
        </w:rPr>
      </w:pPr>
    </w:p>
    <w:p w14:paraId="639B1A53" w14:textId="77777777" w:rsidR="002F720D" w:rsidRPr="008A0AA9" w:rsidRDefault="002F720D" w:rsidP="00A44806">
      <w:pPr>
        <w:jc w:val="center"/>
        <w:rPr>
          <w:rFonts w:asciiTheme="minorHAnsi" w:hAnsiTheme="minorHAnsi" w:cs="Calibri"/>
          <w:b/>
          <w:sz w:val="24"/>
          <w:szCs w:val="24"/>
        </w:rPr>
      </w:pPr>
    </w:p>
    <w:p w14:paraId="138E965B" w14:textId="728856E4" w:rsidR="000324FA" w:rsidRPr="008A0AA9" w:rsidRDefault="008A0AA9" w:rsidP="000324FA">
      <w:pPr>
        <w:jc w:val="center"/>
        <w:rPr>
          <w:rFonts w:asciiTheme="minorHAnsi" w:hAnsiTheme="minorHAnsi" w:cs="Calibri"/>
          <w:b/>
          <w:sz w:val="24"/>
          <w:szCs w:val="24"/>
        </w:rPr>
      </w:pPr>
      <w:r w:rsidRPr="008A0AA9">
        <w:rPr>
          <w:rFonts w:asciiTheme="minorHAnsi" w:hAnsiTheme="minorHAnsi"/>
          <w:b/>
          <w:sz w:val="28"/>
          <w:szCs w:val="28"/>
        </w:rPr>
        <w:t>Lessons Learned from</w:t>
      </w:r>
      <w:r w:rsidR="000324FA" w:rsidRPr="008A0AA9">
        <w:rPr>
          <w:rFonts w:asciiTheme="minorHAnsi" w:hAnsiTheme="minorHAnsi"/>
          <w:b/>
          <w:sz w:val="28"/>
          <w:szCs w:val="28"/>
        </w:rPr>
        <w:t xml:space="preserve"> the </w:t>
      </w:r>
      <w:proofErr w:type="spellStart"/>
      <w:r w:rsidR="000324FA" w:rsidRPr="008A0AA9">
        <w:rPr>
          <w:rFonts w:asciiTheme="minorHAnsi" w:hAnsiTheme="minorHAnsi"/>
          <w:b/>
          <w:sz w:val="28"/>
          <w:szCs w:val="28"/>
        </w:rPr>
        <w:t>Linebarger</w:t>
      </w:r>
      <w:proofErr w:type="spellEnd"/>
      <w:r w:rsidR="000324FA" w:rsidRPr="008A0AA9">
        <w:rPr>
          <w:rFonts w:asciiTheme="minorHAnsi" w:hAnsiTheme="minorHAnsi"/>
          <w:b/>
          <w:sz w:val="28"/>
          <w:szCs w:val="28"/>
        </w:rPr>
        <w:t xml:space="preserve"> Settlement</w:t>
      </w:r>
    </w:p>
    <w:p w14:paraId="6D6CD3CE" w14:textId="77777777" w:rsidR="008A0AA9" w:rsidRPr="008A0AA9" w:rsidRDefault="008A0AA9" w:rsidP="008A0AA9">
      <w:pPr>
        <w:rPr>
          <w:rFonts w:asciiTheme="minorHAnsi" w:eastAsiaTheme="minorHAnsi" w:hAnsiTheme="minorHAnsi" w:cs="Calibri"/>
          <w:color w:val="FF0000"/>
          <w:sz w:val="30"/>
          <w:szCs w:val="30"/>
        </w:rPr>
      </w:pPr>
    </w:p>
    <w:p w14:paraId="6A7B8109" w14:textId="77777777" w:rsidR="008A0AA9" w:rsidRPr="008A0AA9" w:rsidRDefault="008A0AA9" w:rsidP="000324FA">
      <w:pPr>
        <w:rPr>
          <w:rFonts w:asciiTheme="minorHAnsi" w:hAnsiTheme="minorHAnsi"/>
          <w:sz w:val="28"/>
          <w:szCs w:val="28"/>
        </w:rPr>
      </w:pPr>
      <w:r w:rsidRPr="008A0AA9">
        <w:rPr>
          <w:rFonts w:asciiTheme="minorHAnsi" w:eastAsiaTheme="minorHAnsi" w:hAnsiTheme="minorHAnsi" w:cs="Calibri"/>
          <w:color w:val="000000" w:themeColor="text1"/>
          <w:sz w:val="28"/>
          <w:szCs w:val="28"/>
        </w:rPr>
        <w:t xml:space="preserve">On Friday, January 8, 2016, </w:t>
      </w:r>
      <w:r w:rsidRPr="008A0AA9">
        <w:rPr>
          <w:rFonts w:asciiTheme="minorHAnsi" w:hAnsiTheme="minorHAnsi"/>
          <w:sz w:val="28"/>
          <w:szCs w:val="28"/>
        </w:rPr>
        <w:t>a</w:t>
      </w:r>
      <w:r w:rsidR="000324FA" w:rsidRPr="008A0AA9">
        <w:rPr>
          <w:rFonts w:asciiTheme="minorHAnsi" w:hAnsiTheme="minorHAnsi"/>
          <w:sz w:val="28"/>
          <w:szCs w:val="28"/>
        </w:rPr>
        <w:t xml:space="preserve"> $4.3 million settlement </w:t>
      </w:r>
      <w:r w:rsidRPr="008A0AA9">
        <w:rPr>
          <w:rFonts w:asciiTheme="minorHAnsi" w:hAnsiTheme="minorHAnsi"/>
          <w:sz w:val="28"/>
          <w:szCs w:val="28"/>
        </w:rPr>
        <w:t>was</w:t>
      </w:r>
      <w:r w:rsidR="000324FA" w:rsidRPr="008A0AA9">
        <w:rPr>
          <w:rFonts w:asciiTheme="minorHAnsi" w:hAnsiTheme="minorHAnsi"/>
          <w:sz w:val="28"/>
          <w:szCs w:val="28"/>
        </w:rPr>
        <w:t xml:space="preserve"> approved in </w:t>
      </w:r>
      <w:r w:rsidR="000324FA" w:rsidRPr="008A0AA9">
        <w:rPr>
          <w:rFonts w:asciiTheme="minorHAnsi" w:eastAsia="Times New Roman" w:hAnsiTheme="minorHAnsi"/>
          <w:color w:val="000000"/>
          <w:sz w:val="28"/>
          <w:szCs w:val="28"/>
          <w:shd w:val="clear" w:color="auto" w:fill="FFFFFF"/>
        </w:rPr>
        <w:t xml:space="preserve">U.S. District Court for the Northern District of California in San Francisco in </w:t>
      </w:r>
      <w:r w:rsidR="000324FA" w:rsidRPr="008A0AA9">
        <w:rPr>
          <w:rFonts w:asciiTheme="minorHAnsi" w:hAnsiTheme="minorHAnsi"/>
          <w:i/>
          <w:sz w:val="28"/>
          <w:szCs w:val="28"/>
        </w:rPr>
        <w:t xml:space="preserve">4EC Holdings v. </w:t>
      </w:r>
      <w:proofErr w:type="spellStart"/>
      <w:r w:rsidR="000324FA" w:rsidRPr="008A0AA9">
        <w:rPr>
          <w:rFonts w:asciiTheme="minorHAnsi" w:hAnsiTheme="minorHAnsi"/>
          <w:i/>
          <w:sz w:val="28"/>
          <w:szCs w:val="28"/>
        </w:rPr>
        <w:t>Linebarger</w:t>
      </w:r>
      <w:proofErr w:type="spellEnd"/>
      <w:r w:rsidR="000324FA" w:rsidRPr="008A0AA9">
        <w:rPr>
          <w:rFonts w:asciiTheme="minorHAnsi" w:hAnsiTheme="minorHAnsi"/>
          <w:i/>
          <w:sz w:val="28"/>
          <w:szCs w:val="28"/>
        </w:rPr>
        <w:t xml:space="preserve"> </w:t>
      </w:r>
      <w:proofErr w:type="spellStart"/>
      <w:r w:rsidR="000324FA" w:rsidRPr="008A0AA9">
        <w:rPr>
          <w:rFonts w:asciiTheme="minorHAnsi" w:hAnsiTheme="minorHAnsi"/>
          <w:i/>
          <w:sz w:val="28"/>
          <w:szCs w:val="28"/>
        </w:rPr>
        <w:t>Goggan</w:t>
      </w:r>
      <w:proofErr w:type="spellEnd"/>
      <w:r w:rsidR="000324FA" w:rsidRPr="008A0AA9">
        <w:rPr>
          <w:rFonts w:asciiTheme="minorHAnsi" w:hAnsiTheme="minorHAnsi"/>
          <w:i/>
          <w:sz w:val="28"/>
          <w:szCs w:val="28"/>
        </w:rPr>
        <w:t xml:space="preserve"> Blair &amp; Sampson, LLP. </w:t>
      </w:r>
    </w:p>
    <w:p w14:paraId="13D58A47" w14:textId="77777777" w:rsidR="008A0AA9" w:rsidRPr="008A0AA9" w:rsidRDefault="008A0AA9" w:rsidP="000324FA">
      <w:pPr>
        <w:rPr>
          <w:rFonts w:asciiTheme="minorHAnsi" w:hAnsiTheme="minorHAnsi"/>
          <w:sz w:val="28"/>
          <w:szCs w:val="28"/>
        </w:rPr>
      </w:pPr>
    </w:p>
    <w:p w14:paraId="1FD15053" w14:textId="7C70710D" w:rsidR="000324FA" w:rsidRPr="008A0AA9" w:rsidRDefault="008A0AA9" w:rsidP="000324FA">
      <w:pPr>
        <w:rPr>
          <w:rFonts w:asciiTheme="minorHAnsi" w:hAnsiTheme="minorHAnsi"/>
          <w:i/>
          <w:sz w:val="28"/>
          <w:szCs w:val="28"/>
        </w:rPr>
      </w:pPr>
      <w:r w:rsidRPr="008A0AA9">
        <w:rPr>
          <w:rFonts w:asciiTheme="minorHAnsi" w:hAnsiTheme="minorHAnsi"/>
          <w:sz w:val="28"/>
          <w:szCs w:val="28"/>
        </w:rPr>
        <w:t xml:space="preserve">Central to the details of this case, and a warning to all NARCA members, is the allegation that </w:t>
      </w:r>
      <w:proofErr w:type="spellStart"/>
      <w:r w:rsidR="000324FA" w:rsidRPr="008A0AA9">
        <w:rPr>
          <w:rFonts w:asciiTheme="minorHAnsi" w:hAnsiTheme="minorHAnsi"/>
          <w:sz w:val="28"/>
          <w:szCs w:val="28"/>
        </w:rPr>
        <w:t>Linebarger</w:t>
      </w:r>
      <w:proofErr w:type="spellEnd"/>
      <w:r w:rsidR="000324FA" w:rsidRPr="008A0AA9">
        <w:rPr>
          <w:rFonts w:asciiTheme="minorHAnsi" w:hAnsiTheme="minorHAnsi"/>
          <w:sz w:val="28"/>
          <w:szCs w:val="28"/>
        </w:rPr>
        <w:t xml:space="preserve">, based in Austin, Texas, </w:t>
      </w:r>
      <w:r w:rsidRPr="008A0AA9">
        <w:rPr>
          <w:rFonts w:asciiTheme="minorHAnsi" w:hAnsiTheme="minorHAnsi"/>
          <w:sz w:val="28"/>
          <w:szCs w:val="28"/>
        </w:rPr>
        <w:t>violated the California Unfair Competition Law by illegally engaging in the practice of law in California</w:t>
      </w:r>
      <w:r w:rsidRPr="008A0AA9">
        <w:rPr>
          <w:rFonts w:asciiTheme="minorHAnsi" w:hAnsiTheme="minorHAnsi"/>
          <w:sz w:val="28"/>
          <w:szCs w:val="28"/>
        </w:rPr>
        <w:t xml:space="preserve"> by sending</w:t>
      </w:r>
      <w:r w:rsidR="000324FA" w:rsidRPr="008A0AA9">
        <w:rPr>
          <w:rFonts w:asciiTheme="minorHAnsi" w:hAnsiTheme="minorHAnsi"/>
          <w:sz w:val="28"/>
          <w:szCs w:val="28"/>
        </w:rPr>
        <w:t xml:space="preserve"> </w:t>
      </w:r>
      <w:r w:rsidRPr="008A0AA9">
        <w:rPr>
          <w:rFonts w:asciiTheme="minorHAnsi" w:hAnsiTheme="minorHAnsi"/>
          <w:sz w:val="28"/>
          <w:szCs w:val="28"/>
        </w:rPr>
        <w:t xml:space="preserve">government </w:t>
      </w:r>
      <w:r w:rsidR="000324FA" w:rsidRPr="008A0AA9">
        <w:rPr>
          <w:rFonts w:asciiTheme="minorHAnsi" w:hAnsiTheme="minorHAnsi"/>
          <w:sz w:val="28"/>
          <w:szCs w:val="28"/>
        </w:rPr>
        <w:t xml:space="preserve">debt collection demand letters to California residents, despite the fact that the firm employed no attorneys in California as required by California law. </w:t>
      </w:r>
      <w:proofErr w:type="gramStart"/>
      <w:r w:rsidR="000324FA" w:rsidRPr="008A0AA9">
        <w:rPr>
          <w:rFonts w:asciiTheme="minorHAnsi" w:hAnsiTheme="minorHAnsi"/>
          <w:sz w:val="28"/>
          <w:szCs w:val="28"/>
        </w:rPr>
        <w:t xml:space="preserve">The allegations were denied by </w:t>
      </w:r>
      <w:proofErr w:type="spellStart"/>
      <w:r w:rsidR="000324FA" w:rsidRPr="008A0AA9">
        <w:rPr>
          <w:rFonts w:asciiTheme="minorHAnsi" w:hAnsiTheme="minorHAnsi"/>
          <w:sz w:val="28"/>
          <w:szCs w:val="28"/>
        </w:rPr>
        <w:t>Linebarger</w:t>
      </w:r>
      <w:proofErr w:type="spellEnd"/>
      <w:proofErr w:type="gramEnd"/>
      <w:r w:rsidR="000324FA" w:rsidRPr="008A0AA9">
        <w:rPr>
          <w:rFonts w:asciiTheme="minorHAnsi" w:hAnsiTheme="minorHAnsi"/>
          <w:sz w:val="28"/>
          <w:szCs w:val="28"/>
        </w:rPr>
        <w:t xml:space="preserve">.   </w:t>
      </w:r>
    </w:p>
    <w:p w14:paraId="697E05DA" w14:textId="77777777" w:rsidR="000324FA" w:rsidRPr="008A0AA9" w:rsidRDefault="000324FA" w:rsidP="000324FA">
      <w:pPr>
        <w:rPr>
          <w:rFonts w:asciiTheme="minorHAnsi" w:eastAsia="Times New Roman" w:hAnsiTheme="minorHAnsi"/>
          <w:color w:val="333333"/>
          <w:sz w:val="28"/>
          <w:szCs w:val="28"/>
          <w:shd w:val="clear" w:color="auto" w:fill="FFFFFF"/>
        </w:rPr>
      </w:pPr>
    </w:p>
    <w:p w14:paraId="00ADEC4C" w14:textId="4FE39906" w:rsidR="008A0AA9" w:rsidRPr="008A0AA9" w:rsidRDefault="008A0AA9" w:rsidP="008A0AA9">
      <w:pPr>
        <w:pStyle w:val="HTMLPreformatted"/>
        <w:rPr>
          <w:rFonts w:asciiTheme="minorHAnsi" w:hAnsiTheme="minorHAnsi"/>
          <w:color w:val="000000"/>
          <w:sz w:val="28"/>
          <w:szCs w:val="28"/>
        </w:rPr>
      </w:pPr>
      <w:r w:rsidRPr="008A0AA9">
        <w:rPr>
          <w:rFonts w:asciiTheme="minorHAnsi" w:hAnsiTheme="minorHAnsi"/>
          <w:sz w:val="28"/>
          <w:szCs w:val="28"/>
        </w:rPr>
        <w:t xml:space="preserve">NARCA members should be aware that they too may be at risk to the extent that this case did not allege violations of the Federal Debt Collection Practices Act or California’s </w:t>
      </w:r>
      <w:r w:rsidRPr="008A0AA9">
        <w:rPr>
          <w:rFonts w:asciiTheme="minorHAnsi" w:hAnsiTheme="minorHAnsi"/>
          <w:color w:val="000000"/>
          <w:sz w:val="28"/>
          <w:szCs w:val="28"/>
        </w:rPr>
        <w:t>Rosenthal Fai</w:t>
      </w:r>
      <w:r w:rsidRPr="008A0AA9">
        <w:rPr>
          <w:rFonts w:asciiTheme="minorHAnsi" w:hAnsiTheme="minorHAnsi"/>
          <w:color w:val="000000"/>
          <w:sz w:val="28"/>
          <w:szCs w:val="28"/>
        </w:rPr>
        <w:t xml:space="preserve">r Debt Collection Practices Act, </w:t>
      </w:r>
      <w:r w:rsidRPr="008A0AA9">
        <w:rPr>
          <w:rFonts w:asciiTheme="minorHAnsi" w:hAnsiTheme="minorHAnsi"/>
          <w:sz w:val="28"/>
          <w:szCs w:val="28"/>
        </w:rPr>
        <w:t>but rather state consumer protection statutes regarding the unauthorized practice of law.</w:t>
      </w:r>
    </w:p>
    <w:p w14:paraId="7108036B" w14:textId="77777777" w:rsidR="008A0AA9" w:rsidRPr="008A0AA9" w:rsidRDefault="008A0AA9" w:rsidP="000324FA">
      <w:pPr>
        <w:rPr>
          <w:rFonts w:asciiTheme="minorHAnsi" w:hAnsiTheme="minorHAnsi"/>
          <w:sz w:val="28"/>
          <w:szCs w:val="28"/>
        </w:rPr>
      </w:pPr>
    </w:p>
    <w:p w14:paraId="587C2076" w14:textId="66EAE399" w:rsidR="000324FA" w:rsidRPr="008A0AA9" w:rsidRDefault="000324FA" w:rsidP="000324FA">
      <w:pPr>
        <w:rPr>
          <w:rFonts w:asciiTheme="minorHAnsi" w:hAnsiTheme="minorHAnsi"/>
          <w:sz w:val="28"/>
          <w:szCs w:val="28"/>
        </w:rPr>
      </w:pPr>
      <w:r w:rsidRPr="008A0AA9">
        <w:rPr>
          <w:rFonts w:asciiTheme="minorHAnsi" w:hAnsiTheme="minorHAnsi"/>
          <w:sz w:val="28"/>
          <w:szCs w:val="28"/>
        </w:rPr>
        <w:t xml:space="preserve">It should be noted that </w:t>
      </w:r>
      <w:proofErr w:type="spellStart"/>
      <w:r w:rsidRPr="008A0AA9">
        <w:rPr>
          <w:rFonts w:asciiTheme="minorHAnsi" w:hAnsiTheme="minorHAnsi"/>
          <w:sz w:val="28"/>
          <w:szCs w:val="28"/>
        </w:rPr>
        <w:t>Linebarger</w:t>
      </w:r>
      <w:proofErr w:type="spellEnd"/>
      <w:r w:rsidRPr="008A0AA9">
        <w:rPr>
          <w:rFonts w:asciiTheme="minorHAnsi" w:hAnsiTheme="minorHAnsi"/>
          <w:sz w:val="28"/>
          <w:szCs w:val="28"/>
        </w:rPr>
        <w:t xml:space="preserve"> </w:t>
      </w:r>
      <w:proofErr w:type="spellStart"/>
      <w:r w:rsidRPr="008A0AA9">
        <w:rPr>
          <w:rFonts w:asciiTheme="minorHAnsi" w:hAnsiTheme="minorHAnsi"/>
          <w:sz w:val="28"/>
          <w:szCs w:val="28"/>
        </w:rPr>
        <w:t>Goggan</w:t>
      </w:r>
      <w:proofErr w:type="spellEnd"/>
      <w:r w:rsidRPr="008A0AA9">
        <w:rPr>
          <w:rFonts w:asciiTheme="minorHAnsi" w:hAnsiTheme="minorHAnsi"/>
          <w:sz w:val="28"/>
          <w:szCs w:val="28"/>
        </w:rPr>
        <w:t xml:space="preserve"> Blair &amp; Sampson, LLP is not a member of NARCA. NARCA has been at the forefront of insuring that its members abide by a Code of Ethics and Professional Conduct that is separate and in addition to the rules in their respective states which govern th</w:t>
      </w:r>
      <w:r w:rsidR="008A0AA9" w:rsidRPr="008A0AA9">
        <w:rPr>
          <w:rFonts w:asciiTheme="minorHAnsi" w:hAnsiTheme="minorHAnsi"/>
          <w:sz w:val="28"/>
          <w:szCs w:val="28"/>
        </w:rPr>
        <w:t>eir law licenses.</w:t>
      </w:r>
    </w:p>
    <w:p w14:paraId="5C2A525A" w14:textId="77777777" w:rsidR="008A0AA9" w:rsidRPr="008A0AA9" w:rsidRDefault="008A0AA9" w:rsidP="000324FA">
      <w:pPr>
        <w:rPr>
          <w:rFonts w:asciiTheme="minorHAnsi" w:eastAsia="Times New Roman" w:hAnsiTheme="minorHAnsi"/>
          <w:sz w:val="28"/>
          <w:szCs w:val="28"/>
        </w:rPr>
      </w:pPr>
    </w:p>
    <w:p w14:paraId="2CF636B8" w14:textId="77777777" w:rsidR="000324FA" w:rsidRPr="008A0AA9" w:rsidRDefault="000324FA" w:rsidP="000324FA">
      <w:pPr>
        <w:rPr>
          <w:rFonts w:asciiTheme="minorHAnsi" w:hAnsiTheme="minorHAnsi"/>
          <w:sz w:val="28"/>
          <w:szCs w:val="28"/>
        </w:rPr>
      </w:pPr>
      <w:r w:rsidRPr="008A0AA9">
        <w:rPr>
          <w:rFonts w:asciiTheme="minorHAnsi" w:eastAsia="Times New Roman" w:hAnsiTheme="minorHAnsi"/>
          <w:sz w:val="28"/>
          <w:szCs w:val="28"/>
        </w:rPr>
        <w:t xml:space="preserve">The </w:t>
      </w:r>
      <w:r w:rsidRPr="008A0AA9">
        <w:rPr>
          <w:rFonts w:asciiTheme="minorHAnsi" w:hAnsiTheme="minorHAnsi"/>
          <w:sz w:val="28"/>
          <w:szCs w:val="28"/>
        </w:rPr>
        <w:t xml:space="preserve">NARCA Code of Professional Conduct and Ethics can be found in its entirety here (add hyperlink to: </w:t>
      </w:r>
      <w:hyperlink r:id="rId7" w:history="1">
        <w:r w:rsidRPr="008A0AA9">
          <w:rPr>
            <w:rStyle w:val="Hyperlink"/>
            <w:rFonts w:asciiTheme="minorHAnsi" w:hAnsiTheme="minorHAnsi"/>
            <w:sz w:val="28"/>
            <w:szCs w:val="28"/>
          </w:rPr>
          <w:t>http://c.ymcdn.com/sites/www.narca.org/resource/resmgr/home/codeprofessionalconductethic.pdf</w:t>
        </w:r>
      </w:hyperlink>
      <w:proofErr w:type="gramStart"/>
      <w:r w:rsidRPr="008A0AA9">
        <w:rPr>
          <w:rFonts w:asciiTheme="minorHAnsi" w:hAnsiTheme="minorHAnsi"/>
          <w:sz w:val="28"/>
          <w:szCs w:val="28"/>
        </w:rPr>
        <w:t xml:space="preserve"> )</w:t>
      </w:r>
      <w:proofErr w:type="gramEnd"/>
      <w:r w:rsidRPr="008A0AA9">
        <w:rPr>
          <w:rFonts w:asciiTheme="minorHAnsi" w:hAnsiTheme="minorHAnsi"/>
          <w:sz w:val="28"/>
          <w:szCs w:val="28"/>
        </w:rPr>
        <w:t xml:space="preserve"> or by visiting </w:t>
      </w:r>
      <w:hyperlink r:id="rId8" w:history="1">
        <w:r w:rsidRPr="008A0AA9">
          <w:rPr>
            <w:rStyle w:val="Hyperlink"/>
            <w:rFonts w:asciiTheme="minorHAnsi" w:hAnsiTheme="minorHAnsi"/>
            <w:sz w:val="28"/>
            <w:szCs w:val="28"/>
          </w:rPr>
          <w:t>www.narca.org</w:t>
        </w:r>
      </w:hyperlink>
      <w:r w:rsidRPr="008A0AA9">
        <w:rPr>
          <w:rFonts w:asciiTheme="minorHAnsi" w:hAnsiTheme="minorHAnsi"/>
          <w:sz w:val="28"/>
          <w:szCs w:val="28"/>
        </w:rPr>
        <w:t xml:space="preserve">. </w:t>
      </w:r>
    </w:p>
    <w:p w14:paraId="7C9E013D" w14:textId="77777777" w:rsidR="000324FA" w:rsidRPr="008A0AA9" w:rsidRDefault="000324FA" w:rsidP="000324FA">
      <w:pPr>
        <w:rPr>
          <w:rFonts w:asciiTheme="minorHAnsi" w:hAnsiTheme="minorHAnsi"/>
          <w:sz w:val="28"/>
          <w:szCs w:val="28"/>
        </w:rPr>
      </w:pPr>
    </w:p>
    <w:p w14:paraId="130A68AE" w14:textId="77777777" w:rsidR="000324FA" w:rsidRDefault="000324FA" w:rsidP="000324FA">
      <w:pPr>
        <w:rPr>
          <w:rFonts w:asciiTheme="minorHAnsi" w:hAnsiTheme="minorHAnsi" w:cs="Calibri"/>
          <w:sz w:val="28"/>
          <w:szCs w:val="28"/>
          <w:u w:val="single"/>
        </w:rPr>
      </w:pPr>
    </w:p>
    <w:p w14:paraId="69726B92" w14:textId="77777777" w:rsidR="008A0AA9" w:rsidRDefault="008A0AA9" w:rsidP="000324FA">
      <w:pPr>
        <w:rPr>
          <w:rFonts w:asciiTheme="minorHAnsi" w:hAnsiTheme="minorHAnsi" w:cs="Calibri"/>
          <w:sz w:val="28"/>
          <w:szCs w:val="28"/>
          <w:u w:val="single"/>
        </w:rPr>
      </w:pPr>
    </w:p>
    <w:p w14:paraId="6595AB8F" w14:textId="77777777" w:rsidR="008A0AA9" w:rsidRDefault="008A0AA9" w:rsidP="000324FA">
      <w:pPr>
        <w:rPr>
          <w:rFonts w:asciiTheme="minorHAnsi" w:hAnsiTheme="minorHAnsi" w:cs="Calibri"/>
          <w:sz w:val="28"/>
          <w:szCs w:val="28"/>
          <w:u w:val="single"/>
        </w:rPr>
      </w:pPr>
    </w:p>
    <w:p w14:paraId="39E37FE4" w14:textId="77777777" w:rsidR="008A0AA9" w:rsidRPr="008A0AA9" w:rsidRDefault="008A0AA9" w:rsidP="000324FA">
      <w:pPr>
        <w:rPr>
          <w:rFonts w:asciiTheme="minorHAnsi" w:hAnsiTheme="minorHAnsi" w:cs="Calibri"/>
          <w:sz w:val="28"/>
          <w:szCs w:val="28"/>
          <w:u w:val="single"/>
        </w:rPr>
      </w:pPr>
      <w:bookmarkStart w:id="0" w:name="_GoBack"/>
      <w:bookmarkEnd w:id="0"/>
    </w:p>
    <w:p w14:paraId="115E9C67" w14:textId="77777777" w:rsidR="000324FA" w:rsidRPr="008A0AA9" w:rsidRDefault="000324FA" w:rsidP="000324FA">
      <w:pPr>
        <w:rPr>
          <w:rFonts w:asciiTheme="minorHAnsi" w:hAnsiTheme="minorHAnsi" w:cs="Calibri"/>
          <w:sz w:val="28"/>
          <w:szCs w:val="28"/>
          <w:u w:val="single"/>
        </w:rPr>
      </w:pPr>
    </w:p>
    <w:p w14:paraId="54A27D8A" w14:textId="77777777" w:rsidR="000324FA" w:rsidRPr="008A0AA9" w:rsidRDefault="000324FA" w:rsidP="000324FA">
      <w:pPr>
        <w:rPr>
          <w:rFonts w:asciiTheme="minorHAnsi" w:hAnsiTheme="minorHAnsi" w:cs="Calibri"/>
          <w:sz w:val="28"/>
          <w:szCs w:val="28"/>
          <w:u w:val="single"/>
        </w:rPr>
      </w:pPr>
      <w:r w:rsidRPr="008A0AA9">
        <w:rPr>
          <w:rFonts w:asciiTheme="minorHAnsi" w:hAnsiTheme="minorHAnsi" w:cs="Calibri"/>
          <w:sz w:val="28"/>
          <w:szCs w:val="28"/>
          <w:u w:val="single"/>
        </w:rPr>
        <w:lastRenderedPageBreak/>
        <w:t>Contact Information</w:t>
      </w:r>
    </w:p>
    <w:p w14:paraId="78B7050D" w14:textId="77777777" w:rsidR="000324FA" w:rsidRPr="008A0AA9" w:rsidRDefault="000324FA" w:rsidP="000324FA">
      <w:pPr>
        <w:rPr>
          <w:rFonts w:asciiTheme="minorHAnsi" w:hAnsiTheme="minorHAnsi" w:cs="Calibri"/>
          <w:sz w:val="28"/>
          <w:szCs w:val="28"/>
        </w:rPr>
      </w:pPr>
      <w:r w:rsidRPr="008A0AA9">
        <w:rPr>
          <w:rFonts w:asciiTheme="minorHAnsi" w:hAnsiTheme="minorHAnsi" w:cs="Calibri"/>
          <w:sz w:val="28"/>
          <w:szCs w:val="28"/>
        </w:rPr>
        <w:t xml:space="preserve">Mark </w:t>
      </w:r>
      <w:proofErr w:type="spellStart"/>
      <w:r w:rsidRPr="008A0AA9">
        <w:rPr>
          <w:rFonts w:asciiTheme="minorHAnsi" w:hAnsiTheme="minorHAnsi" w:cs="Calibri"/>
          <w:sz w:val="28"/>
          <w:szCs w:val="28"/>
        </w:rPr>
        <w:t>Dobosz</w:t>
      </w:r>
      <w:proofErr w:type="spellEnd"/>
    </w:p>
    <w:p w14:paraId="2049AF79" w14:textId="77777777" w:rsidR="000324FA" w:rsidRPr="008A0AA9" w:rsidRDefault="000324FA" w:rsidP="000324FA">
      <w:pPr>
        <w:rPr>
          <w:rFonts w:asciiTheme="minorHAnsi" w:hAnsiTheme="minorHAnsi" w:cs="Calibri"/>
          <w:sz w:val="28"/>
          <w:szCs w:val="28"/>
        </w:rPr>
      </w:pPr>
      <w:r w:rsidRPr="008A0AA9">
        <w:rPr>
          <w:rFonts w:asciiTheme="minorHAnsi" w:hAnsiTheme="minorHAnsi" w:cs="Calibri"/>
          <w:sz w:val="28"/>
          <w:szCs w:val="28"/>
        </w:rPr>
        <w:t>Executive Director</w:t>
      </w:r>
    </w:p>
    <w:p w14:paraId="45DD703A" w14:textId="77777777" w:rsidR="000324FA" w:rsidRPr="008A0AA9" w:rsidRDefault="000324FA" w:rsidP="000324FA">
      <w:pPr>
        <w:rPr>
          <w:rFonts w:asciiTheme="minorHAnsi" w:hAnsiTheme="minorHAnsi" w:cs="Calibri"/>
          <w:sz w:val="28"/>
          <w:szCs w:val="28"/>
        </w:rPr>
      </w:pPr>
      <w:r w:rsidRPr="008A0AA9">
        <w:rPr>
          <w:rFonts w:asciiTheme="minorHAnsi" w:hAnsiTheme="minorHAnsi" w:cs="Calibri"/>
          <w:sz w:val="28"/>
          <w:szCs w:val="28"/>
        </w:rPr>
        <w:t>NARCA – The National Creditors Bar Association</w:t>
      </w:r>
    </w:p>
    <w:p w14:paraId="5B272E8B" w14:textId="77777777" w:rsidR="000324FA" w:rsidRPr="008A0AA9" w:rsidRDefault="000324FA" w:rsidP="000324FA">
      <w:pPr>
        <w:rPr>
          <w:rFonts w:asciiTheme="minorHAnsi" w:hAnsiTheme="minorHAnsi" w:cs="Calibri"/>
          <w:sz w:val="28"/>
          <w:szCs w:val="28"/>
        </w:rPr>
      </w:pPr>
      <w:r w:rsidRPr="008A0AA9">
        <w:rPr>
          <w:rFonts w:asciiTheme="minorHAnsi" w:hAnsiTheme="minorHAnsi" w:cs="Calibri"/>
          <w:sz w:val="28"/>
          <w:szCs w:val="28"/>
        </w:rPr>
        <w:t>Direct: 202-861-0706</w:t>
      </w:r>
    </w:p>
    <w:p w14:paraId="093183A9" w14:textId="77777777" w:rsidR="000324FA" w:rsidRPr="008A0AA9" w:rsidRDefault="000324FA" w:rsidP="000324FA">
      <w:pPr>
        <w:rPr>
          <w:rFonts w:asciiTheme="minorHAnsi" w:hAnsiTheme="minorHAnsi" w:cs="Calibri"/>
          <w:sz w:val="28"/>
          <w:szCs w:val="28"/>
        </w:rPr>
      </w:pPr>
      <w:r w:rsidRPr="008A0AA9">
        <w:rPr>
          <w:rFonts w:asciiTheme="minorHAnsi" w:hAnsiTheme="minorHAnsi" w:cs="Calibri"/>
          <w:sz w:val="28"/>
          <w:szCs w:val="28"/>
        </w:rPr>
        <w:t xml:space="preserve">Email: </w:t>
      </w:r>
      <w:hyperlink r:id="rId9" w:history="1">
        <w:r w:rsidRPr="008A0AA9">
          <w:rPr>
            <w:rFonts w:asciiTheme="minorHAnsi" w:hAnsiTheme="minorHAnsi" w:cs="Calibri"/>
            <w:color w:val="0000FF"/>
            <w:sz w:val="28"/>
            <w:szCs w:val="28"/>
            <w:u w:val="single"/>
          </w:rPr>
          <w:t>mark@narca.org</w:t>
        </w:r>
      </w:hyperlink>
    </w:p>
    <w:p w14:paraId="4B9492DB" w14:textId="77777777" w:rsidR="000324FA" w:rsidRPr="008A0AA9" w:rsidRDefault="000324FA" w:rsidP="000324FA">
      <w:pPr>
        <w:rPr>
          <w:rFonts w:asciiTheme="minorHAnsi" w:hAnsiTheme="minorHAnsi" w:cs="Calibri"/>
          <w:sz w:val="28"/>
          <w:szCs w:val="28"/>
        </w:rPr>
      </w:pPr>
      <w:r w:rsidRPr="008A0AA9">
        <w:rPr>
          <w:rFonts w:asciiTheme="minorHAnsi" w:hAnsiTheme="minorHAnsi" w:cs="Calibri"/>
          <w:sz w:val="28"/>
          <w:szCs w:val="28"/>
        </w:rPr>
        <w:t xml:space="preserve">Web: </w:t>
      </w:r>
      <w:hyperlink r:id="rId10" w:history="1">
        <w:r w:rsidRPr="008A0AA9">
          <w:rPr>
            <w:rFonts w:asciiTheme="minorHAnsi" w:hAnsiTheme="minorHAnsi" w:cs="Calibri"/>
            <w:color w:val="0000FF"/>
            <w:sz w:val="28"/>
            <w:szCs w:val="28"/>
            <w:u w:val="single"/>
          </w:rPr>
          <w:t>www.narca.org</w:t>
        </w:r>
      </w:hyperlink>
    </w:p>
    <w:p w14:paraId="1DD2B8B2" w14:textId="77777777" w:rsidR="000324FA" w:rsidRPr="008A0AA9" w:rsidRDefault="000324FA" w:rsidP="000324FA">
      <w:pPr>
        <w:rPr>
          <w:rFonts w:asciiTheme="minorHAnsi" w:hAnsiTheme="minorHAnsi" w:cs="Calibri"/>
          <w:sz w:val="28"/>
          <w:szCs w:val="28"/>
        </w:rPr>
      </w:pPr>
    </w:p>
    <w:p w14:paraId="38045609" w14:textId="77777777" w:rsidR="000324FA" w:rsidRPr="008A0AA9" w:rsidRDefault="000324FA" w:rsidP="000324FA">
      <w:pPr>
        <w:rPr>
          <w:rFonts w:asciiTheme="minorHAnsi" w:hAnsiTheme="minorHAnsi"/>
          <w:sz w:val="28"/>
          <w:szCs w:val="28"/>
        </w:rPr>
      </w:pPr>
      <w:r w:rsidRPr="008A0AA9">
        <w:rPr>
          <w:rFonts w:asciiTheme="minorHAnsi" w:hAnsiTheme="minorHAnsi" w:cs="Calibri"/>
          <w:sz w:val="28"/>
          <w:szCs w:val="28"/>
        </w:rPr>
        <w:t xml:space="preserve">NARCA – The National Creditors Bar Association is a nationwide professional trade association of 600 creditors rights law firms and in‐house counsel of creditors.  NARCA members are committed to being professional, responsible and ethical in their practice of creditors rights law.  </w:t>
      </w:r>
    </w:p>
    <w:p w14:paraId="2C0ECE08" w14:textId="77777777" w:rsidR="00B834E8" w:rsidRDefault="00B834E8" w:rsidP="007107E5"/>
    <w:sectPr w:rsidR="00B834E8" w:rsidSect="00A44806">
      <w:headerReference w:type="default" r:id="rId11"/>
      <w:footerReference w:type="default" r:id="rId12"/>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D9F1F" w14:textId="77777777" w:rsidR="0052286B" w:rsidRDefault="0052286B" w:rsidP="00A44806">
      <w:r>
        <w:separator/>
      </w:r>
    </w:p>
  </w:endnote>
  <w:endnote w:type="continuationSeparator" w:id="0">
    <w:p w14:paraId="4B6EA074" w14:textId="77777777" w:rsidR="0052286B" w:rsidRDefault="0052286B" w:rsidP="00A4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52286B" w:rsidRPr="00A44806" w14:paraId="395D7045" w14:textId="77777777" w:rsidTr="00962F34">
      <w:tc>
        <w:tcPr>
          <w:tcW w:w="918" w:type="dxa"/>
        </w:tcPr>
        <w:p w14:paraId="2699A571" w14:textId="77777777" w:rsidR="0052286B" w:rsidRPr="00A44806" w:rsidRDefault="0052286B" w:rsidP="00A44806">
          <w:pPr>
            <w:tabs>
              <w:tab w:val="center" w:pos="4680"/>
              <w:tab w:val="right" w:pos="9360"/>
            </w:tabs>
            <w:jc w:val="right"/>
            <w:rPr>
              <w:b/>
              <w:color w:val="4F81BD"/>
              <w:sz w:val="32"/>
              <w:szCs w:val="32"/>
            </w:rPr>
          </w:pPr>
          <w:r w:rsidRPr="00A44806">
            <w:fldChar w:fldCharType="begin"/>
          </w:r>
          <w:r w:rsidRPr="00A44806">
            <w:instrText xml:space="preserve"> PAGE   \* MERGEFORMAT </w:instrText>
          </w:r>
          <w:r w:rsidRPr="00A44806">
            <w:fldChar w:fldCharType="separate"/>
          </w:r>
          <w:r w:rsidR="008A0AA9" w:rsidRPr="008A0AA9">
            <w:rPr>
              <w:b/>
              <w:noProof/>
              <w:color w:val="4F81BD"/>
              <w:sz w:val="32"/>
              <w:szCs w:val="32"/>
            </w:rPr>
            <w:t>1</w:t>
          </w:r>
          <w:r w:rsidRPr="00A44806">
            <w:fldChar w:fldCharType="end"/>
          </w:r>
        </w:p>
      </w:tc>
      <w:tc>
        <w:tcPr>
          <w:tcW w:w="7938" w:type="dxa"/>
        </w:tcPr>
        <w:p w14:paraId="6F6C946C" w14:textId="77777777" w:rsidR="0052286B" w:rsidRPr="00A44806" w:rsidRDefault="0052286B" w:rsidP="00A44806">
          <w:pPr>
            <w:tabs>
              <w:tab w:val="center" w:pos="4680"/>
              <w:tab w:val="right" w:pos="9360"/>
            </w:tabs>
          </w:pPr>
          <w:r w:rsidRPr="00A44806">
            <w:t>NARCA – The National Creditors Bar Association</w:t>
          </w:r>
        </w:p>
        <w:p w14:paraId="3386F22A" w14:textId="77777777" w:rsidR="0052286B" w:rsidRPr="00A44806" w:rsidRDefault="0052286B" w:rsidP="00A44806">
          <w:pPr>
            <w:tabs>
              <w:tab w:val="center" w:pos="4680"/>
              <w:tab w:val="right" w:pos="9360"/>
            </w:tabs>
          </w:pPr>
          <w:r w:rsidRPr="00A44806">
            <w:t>202-861-0706   Fax 240-559-0959</w:t>
          </w:r>
        </w:p>
        <w:p w14:paraId="5B0503B5" w14:textId="77777777" w:rsidR="0052286B" w:rsidRPr="00A44806" w:rsidRDefault="0052286B" w:rsidP="00A44806">
          <w:pPr>
            <w:tabs>
              <w:tab w:val="center" w:pos="4680"/>
              <w:tab w:val="right" w:pos="9360"/>
            </w:tabs>
          </w:pPr>
          <w:r w:rsidRPr="00A44806">
            <w:t xml:space="preserve">Operations:  8043 Cooper Creek Blvd, Ste 206, University Park, FL 34201   </w:t>
          </w:r>
        </w:p>
        <w:p w14:paraId="6A6C1769" w14:textId="77777777" w:rsidR="0052286B" w:rsidRPr="00A44806" w:rsidRDefault="007B05A5" w:rsidP="00A44806">
          <w:pPr>
            <w:tabs>
              <w:tab w:val="center" w:pos="4680"/>
              <w:tab w:val="right" w:pos="9360"/>
            </w:tabs>
          </w:pPr>
          <w:hyperlink r:id="rId1" w:history="1">
            <w:r w:rsidR="0052286B" w:rsidRPr="00A44806">
              <w:rPr>
                <w:color w:val="0000FF"/>
                <w:u w:val="single"/>
              </w:rPr>
              <w:t>narca@narca.org</w:t>
            </w:r>
          </w:hyperlink>
          <w:r w:rsidR="0052286B" w:rsidRPr="00A44806">
            <w:t xml:space="preserve">   </w:t>
          </w:r>
          <w:hyperlink r:id="rId2" w:history="1">
            <w:r w:rsidR="0052286B" w:rsidRPr="00A44806">
              <w:rPr>
                <w:color w:val="0000FF"/>
                <w:u w:val="single"/>
              </w:rPr>
              <w:t>www.narca.org</w:t>
            </w:r>
          </w:hyperlink>
        </w:p>
        <w:p w14:paraId="4FCAFD1F" w14:textId="77777777" w:rsidR="0052286B" w:rsidRPr="00A44806" w:rsidRDefault="0052286B" w:rsidP="00A44806">
          <w:pPr>
            <w:tabs>
              <w:tab w:val="center" w:pos="4680"/>
              <w:tab w:val="right" w:pos="9360"/>
            </w:tabs>
          </w:pPr>
        </w:p>
      </w:tc>
    </w:tr>
  </w:tbl>
  <w:p w14:paraId="50A8D105" w14:textId="77777777" w:rsidR="0052286B" w:rsidRPr="00A44806" w:rsidRDefault="0052286B" w:rsidP="00A448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2E478" w14:textId="77777777" w:rsidR="0052286B" w:rsidRDefault="0052286B" w:rsidP="00A44806">
      <w:r>
        <w:separator/>
      </w:r>
    </w:p>
  </w:footnote>
  <w:footnote w:type="continuationSeparator" w:id="0">
    <w:p w14:paraId="50541B53" w14:textId="77777777" w:rsidR="0052286B" w:rsidRDefault="0052286B" w:rsidP="00A448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EA431" w14:textId="77777777" w:rsidR="0052286B" w:rsidRDefault="0052286B" w:rsidP="00A44806">
    <w:pPr>
      <w:pStyle w:val="Header"/>
      <w:jc w:val="center"/>
    </w:pPr>
    <w:r>
      <w:rPr>
        <w:noProof/>
      </w:rPr>
      <w:drawing>
        <wp:inline distT="0" distB="0" distL="0" distR="0" wp14:anchorId="5D347538" wp14:editId="4081C9BF">
          <wp:extent cx="2906973" cy="1050975"/>
          <wp:effectExtent l="0" t="0" r="8255" b="0"/>
          <wp:docPr id="1" name="Picture 1" descr="C:\Users\Lyndsey Cantees\Desktop\New Narca Logos\NARCA20 Logo -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y Cantees\Desktop\New Narca Logos\NARCA20 Logo - No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8899" cy="105528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E5"/>
    <w:rsid w:val="00025218"/>
    <w:rsid w:val="000324FA"/>
    <w:rsid w:val="00046BAD"/>
    <w:rsid w:val="00063211"/>
    <w:rsid w:val="00072488"/>
    <w:rsid w:val="00093374"/>
    <w:rsid w:val="000963B1"/>
    <w:rsid w:val="000A122E"/>
    <w:rsid w:val="000A1FD7"/>
    <w:rsid w:val="000A781B"/>
    <w:rsid w:val="000B50E3"/>
    <w:rsid w:val="000C3800"/>
    <w:rsid w:val="000E017A"/>
    <w:rsid w:val="000E05AD"/>
    <w:rsid w:val="000E33B6"/>
    <w:rsid w:val="000F1678"/>
    <w:rsid w:val="001246FC"/>
    <w:rsid w:val="00146B46"/>
    <w:rsid w:val="0016400A"/>
    <w:rsid w:val="00165F02"/>
    <w:rsid w:val="00172E9D"/>
    <w:rsid w:val="001A35C6"/>
    <w:rsid w:val="001A7C87"/>
    <w:rsid w:val="001E20A8"/>
    <w:rsid w:val="001F4FFE"/>
    <w:rsid w:val="0020794B"/>
    <w:rsid w:val="00264C98"/>
    <w:rsid w:val="002C1ABD"/>
    <w:rsid w:val="002E667C"/>
    <w:rsid w:val="002F05B1"/>
    <w:rsid w:val="002F720D"/>
    <w:rsid w:val="00307A33"/>
    <w:rsid w:val="00325B58"/>
    <w:rsid w:val="003A6E49"/>
    <w:rsid w:val="003E5A0C"/>
    <w:rsid w:val="00402EBF"/>
    <w:rsid w:val="004346C3"/>
    <w:rsid w:val="0049027E"/>
    <w:rsid w:val="004A1BA4"/>
    <w:rsid w:val="004B18FF"/>
    <w:rsid w:val="005171F1"/>
    <w:rsid w:val="0052286B"/>
    <w:rsid w:val="00571CF6"/>
    <w:rsid w:val="005E0BEB"/>
    <w:rsid w:val="005F01AF"/>
    <w:rsid w:val="00640C48"/>
    <w:rsid w:val="00641C7A"/>
    <w:rsid w:val="006423C0"/>
    <w:rsid w:val="00655BD5"/>
    <w:rsid w:val="00675642"/>
    <w:rsid w:val="006C7D19"/>
    <w:rsid w:val="006E3EFB"/>
    <w:rsid w:val="0070449B"/>
    <w:rsid w:val="007107E5"/>
    <w:rsid w:val="00720CE6"/>
    <w:rsid w:val="007318D5"/>
    <w:rsid w:val="0074506A"/>
    <w:rsid w:val="007519C9"/>
    <w:rsid w:val="007811CE"/>
    <w:rsid w:val="007B0309"/>
    <w:rsid w:val="007B24FF"/>
    <w:rsid w:val="007C6478"/>
    <w:rsid w:val="007C6F89"/>
    <w:rsid w:val="00800D75"/>
    <w:rsid w:val="00821746"/>
    <w:rsid w:val="00840FA2"/>
    <w:rsid w:val="0088307A"/>
    <w:rsid w:val="00892D0A"/>
    <w:rsid w:val="008A0AA9"/>
    <w:rsid w:val="008A1FD1"/>
    <w:rsid w:val="008A463A"/>
    <w:rsid w:val="008D552C"/>
    <w:rsid w:val="008D6096"/>
    <w:rsid w:val="008E59A3"/>
    <w:rsid w:val="00947D39"/>
    <w:rsid w:val="00962B9D"/>
    <w:rsid w:val="00962F34"/>
    <w:rsid w:val="0097456A"/>
    <w:rsid w:val="00981465"/>
    <w:rsid w:val="009C0964"/>
    <w:rsid w:val="009C2BC7"/>
    <w:rsid w:val="009F455F"/>
    <w:rsid w:val="00A00145"/>
    <w:rsid w:val="00A0022F"/>
    <w:rsid w:val="00A12FAF"/>
    <w:rsid w:val="00A44806"/>
    <w:rsid w:val="00A512A8"/>
    <w:rsid w:val="00B15C14"/>
    <w:rsid w:val="00B17ABD"/>
    <w:rsid w:val="00B17BD3"/>
    <w:rsid w:val="00B67BC6"/>
    <w:rsid w:val="00B834E8"/>
    <w:rsid w:val="00BA06BF"/>
    <w:rsid w:val="00BB514B"/>
    <w:rsid w:val="00BB583B"/>
    <w:rsid w:val="00C14BC3"/>
    <w:rsid w:val="00C8587C"/>
    <w:rsid w:val="00D81E29"/>
    <w:rsid w:val="00DA0DCE"/>
    <w:rsid w:val="00DA7DE3"/>
    <w:rsid w:val="00DF4088"/>
    <w:rsid w:val="00E125A2"/>
    <w:rsid w:val="00E15B45"/>
    <w:rsid w:val="00E179DC"/>
    <w:rsid w:val="00E75260"/>
    <w:rsid w:val="00EA6D9C"/>
    <w:rsid w:val="00EC08E4"/>
    <w:rsid w:val="00F5013B"/>
    <w:rsid w:val="00F600B6"/>
    <w:rsid w:val="00F61DB7"/>
    <w:rsid w:val="00F67048"/>
    <w:rsid w:val="00F96B4E"/>
    <w:rsid w:val="00FC0130"/>
    <w:rsid w:val="00FE6CE6"/>
    <w:rsid w:val="00FF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B2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0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A33"/>
    <w:pPr>
      <w:spacing w:after="0" w:line="240" w:lineRule="auto"/>
    </w:pPr>
  </w:style>
  <w:style w:type="paragraph" w:styleId="Header">
    <w:name w:val="header"/>
    <w:basedOn w:val="Normal"/>
    <w:link w:val="Head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44806"/>
  </w:style>
  <w:style w:type="paragraph" w:styleId="Footer">
    <w:name w:val="footer"/>
    <w:basedOn w:val="Normal"/>
    <w:link w:val="Foot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44806"/>
  </w:style>
  <w:style w:type="paragraph" w:styleId="BalloonText">
    <w:name w:val="Balloon Text"/>
    <w:basedOn w:val="Normal"/>
    <w:link w:val="BalloonTextChar"/>
    <w:uiPriority w:val="99"/>
    <w:semiHidden/>
    <w:unhideWhenUsed/>
    <w:rsid w:val="00A4480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4806"/>
    <w:rPr>
      <w:rFonts w:ascii="Tahoma" w:hAnsi="Tahoma" w:cs="Tahoma"/>
      <w:sz w:val="16"/>
      <w:szCs w:val="16"/>
    </w:rPr>
  </w:style>
  <w:style w:type="character" w:styleId="Hyperlink">
    <w:name w:val="Hyperlink"/>
    <w:basedOn w:val="DefaultParagraphFont"/>
    <w:uiPriority w:val="99"/>
    <w:unhideWhenUsed/>
    <w:rsid w:val="000324FA"/>
    <w:rPr>
      <w:color w:val="0000FF" w:themeColor="hyperlink"/>
      <w:u w:val="single"/>
    </w:rPr>
  </w:style>
  <w:style w:type="paragraph" w:styleId="HTMLPreformatted">
    <w:name w:val="HTML Preformatted"/>
    <w:basedOn w:val="Normal"/>
    <w:link w:val="HTMLPreformattedChar"/>
    <w:uiPriority w:val="99"/>
    <w:unhideWhenUsed/>
    <w:rsid w:val="008A0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8A0AA9"/>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0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A33"/>
    <w:pPr>
      <w:spacing w:after="0" w:line="240" w:lineRule="auto"/>
    </w:pPr>
  </w:style>
  <w:style w:type="paragraph" w:styleId="Header">
    <w:name w:val="header"/>
    <w:basedOn w:val="Normal"/>
    <w:link w:val="Head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44806"/>
  </w:style>
  <w:style w:type="paragraph" w:styleId="Footer">
    <w:name w:val="footer"/>
    <w:basedOn w:val="Normal"/>
    <w:link w:val="Foot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44806"/>
  </w:style>
  <w:style w:type="paragraph" w:styleId="BalloonText">
    <w:name w:val="Balloon Text"/>
    <w:basedOn w:val="Normal"/>
    <w:link w:val="BalloonTextChar"/>
    <w:uiPriority w:val="99"/>
    <w:semiHidden/>
    <w:unhideWhenUsed/>
    <w:rsid w:val="00A4480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4806"/>
    <w:rPr>
      <w:rFonts w:ascii="Tahoma" w:hAnsi="Tahoma" w:cs="Tahoma"/>
      <w:sz w:val="16"/>
      <w:szCs w:val="16"/>
    </w:rPr>
  </w:style>
  <w:style w:type="character" w:styleId="Hyperlink">
    <w:name w:val="Hyperlink"/>
    <w:basedOn w:val="DefaultParagraphFont"/>
    <w:uiPriority w:val="99"/>
    <w:unhideWhenUsed/>
    <w:rsid w:val="000324FA"/>
    <w:rPr>
      <w:color w:val="0000FF" w:themeColor="hyperlink"/>
      <w:u w:val="single"/>
    </w:rPr>
  </w:style>
  <w:style w:type="paragraph" w:styleId="HTMLPreformatted">
    <w:name w:val="HTML Preformatted"/>
    <w:basedOn w:val="Normal"/>
    <w:link w:val="HTMLPreformattedChar"/>
    <w:uiPriority w:val="99"/>
    <w:unhideWhenUsed/>
    <w:rsid w:val="008A0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8A0AA9"/>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9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ymcdn.com/sites/www.narca.org/resource/resmgr/home/codeprofessionalconductethic.pdf" TargetMode="External"/><Relationship Id="rId8" Type="http://schemas.openxmlformats.org/officeDocument/2006/relationships/hyperlink" Target="http://www.narca.org" TargetMode="External"/><Relationship Id="rId9" Type="http://schemas.openxmlformats.org/officeDocument/2006/relationships/hyperlink" Target="mailto:jim@narca.org" TargetMode="External"/><Relationship Id="rId10" Type="http://schemas.openxmlformats.org/officeDocument/2006/relationships/hyperlink" Target="http://www.narc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2016-01-15T18:04:00Z</dcterms:created>
  <dcterms:modified xsi:type="dcterms:W3CDTF">2016-01-15T18:04:00Z</dcterms:modified>
</cp:coreProperties>
</file>