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ED624" w14:textId="77777777" w:rsidR="00DC218D" w:rsidRDefault="00DC218D" w:rsidP="00BF211E">
      <w:pPr>
        <w:jc w:val="center"/>
        <w:rPr>
          <w:b/>
          <w:bCs/>
          <w:color w:val="799A3D"/>
        </w:rPr>
      </w:pPr>
    </w:p>
    <w:p w14:paraId="7DB030A7" w14:textId="1E8C3C85" w:rsidR="004B2652" w:rsidRDefault="00DC218D" w:rsidP="004579D1">
      <w:pPr>
        <w:spacing w:after="0" w:line="240" w:lineRule="auto"/>
        <w:jc w:val="center"/>
        <w:rPr>
          <w:b/>
          <w:bCs/>
          <w:color w:val="799A3D"/>
        </w:rPr>
      </w:pPr>
      <w:r w:rsidRPr="003C01D9">
        <w:rPr>
          <w:b/>
          <w:bCs/>
          <w:color w:val="799A3D"/>
        </w:rPr>
        <w:t xml:space="preserve">This </w:t>
      </w:r>
      <w:r>
        <w:rPr>
          <w:b/>
          <w:bCs/>
          <w:color w:val="799A3D"/>
        </w:rPr>
        <w:t xml:space="preserve">four-session </w:t>
      </w:r>
      <w:r w:rsidRPr="003C01D9">
        <w:rPr>
          <w:b/>
          <w:bCs/>
          <w:color w:val="799A3D"/>
        </w:rPr>
        <w:t xml:space="preserve">program has been approved for Continuing Education for </w:t>
      </w:r>
      <w:r w:rsidR="00533380">
        <w:rPr>
          <w:b/>
          <w:bCs/>
          <w:color w:val="799A3D"/>
        </w:rPr>
        <w:t>4 TOTAL</w:t>
      </w:r>
      <w:r w:rsidRPr="003C01D9">
        <w:rPr>
          <w:b/>
          <w:bCs/>
          <w:color w:val="799A3D"/>
        </w:rPr>
        <w:t xml:space="preserve"> participant hours by NAB/NCERS—Approval #</w:t>
      </w:r>
      <w:r w:rsidRPr="00843FE9">
        <w:t xml:space="preserve"> </w:t>
      </w:r>
      <w:r w:rsidRPr="00843FE9">
        <w:rPr>
          <w:b/>
          <w:bCs/>
          <w:color w:val="799A3D"/>
        </w:rPr>
        <w:t>20260225-4-A109640-DL</w:t>
      </w:r>
      <w:r w:rsidRPr="003C01D9">
        <w:rPr>
          <w:b/>
          <w:bCs/>
          <w:color w:val="799A3D"/>
        </w:rPr>
        <w:t>.</w:t>
      </w:r>
      <w:r w:rsidR="004B2652">
        <w:rPr>
          <w:b/>
          <w:bCs/>
          <w:color w:val="799A3D"/>
        </w:rPr>
        <w:t xml:space="preserve">  </w:t>
      </w:r>
    </w:p>
    <w:p w14:paraId="56063578" w14:textId="17A1AEDC" w:rsidR="006070DB" w:rsidRDefault="004579D1" w:rsidP="00BF211E">
      <w:pPr>
        <w:jc w:val="center"/>
        <w:rPr>
          <w:b/>
          <w:bCs/>
          <w:color w:val="799A3D"/>
        </w:rPr>
      </w:pPr>
      <w:r>
        <w:rPr>
          <w:b/>
          <w:bCs/>
          <w:color w:val="799A3D"/>
        </w:rPr>
        <w:br/>
      </w:r>
      <w:r w:rsidR="004B2652">
        <w:rPr>
          <w:b/>
          <w:bCs/>
          <w:color w:val="799A3D"/>
        </w:rPr>
        <w:t>1 NAB credit will be awarded per full session attended.</w:t>
      </w:r>
    </w:p>
    <w:p w14:paraId="56C0E233" w14:textId="77777777" w:rsidR="00FD12F4" w:rsidRDefault="00FD12F4" w:rsidP="00B52330">
      <w:pPr>
        <w:pStyle w:val="NoSpacing"/>
        <w:rPr>
          <w:b/>
          <w:bCs/>
          <w:color w:val="4D4F53"/>
          <w:sz w:val="22"/>
          <w:szCs w:val="22"/>
        </w:rPr>
      </w:pPr>
    </w:p>
    <w:p w14:paraId="6C745C2A" w14:textId="464EC3F8" w:rsidR="00B52330" w:rsidRPr="00CC2E71" w:rsidRDefault="00B52330" w:rsidP="00B52330">
      <w:pPr>
        <w:pStyle w:val="NoSpacing"/>
        <w:rPr>
          <w:color w:val="4D4F53"/>
          <w:sz w:val="22"/>
          <w:szCs w:val="22"/>
        </w:rPr>
      </w:pPr>
      <w:r w:rsidRPr="00CC2E71">
        <w:rPr>
          <w:b/>
          <w:bCs/>
          <w:color w:val="4D4F53"/>
          <w:sz w:val="22"/>
          <w:szCs w:val="22"/>
        </w:rPr>
        <w:t>Session Description</w:t>
      </w:r>
      <w:r w:rsidRPr="00BF211E">
        <w:rPr>
          <w:b/>
          <w:bCs/>
          <w:color w:val="4D4F53"/>
          <w:sz w:val="22"/>
          <w:szCs w:val="22"/>
        </w:rPr>
        <w:t>:</w:t>
      </w:r>
      <w:r>
        <w:rPr>
          <w:b/>
          <w:bCs/>
          <w:color w:val="4D4F53"/>
          <w:sz w:val="22"/>
          <w:szCs w:val="22"/>
        </w:rPr>
        <w:br/>
      </w:r>
      <w:r w:rsidRPr="00CC2E71">
        <w:rPr>
          <w:color w:val="4D4F53"/>
          <w:sz w:val="22"/>
          <w:szCs w:val="22"/>
        </w:rPr>
        <w:t xml:space="preserve">One of the cornerstones of success in the evolving aging services landscape is </w:t>
      </w:r>
      <w:r w:rsidRPr="00CC2E71">
        <w:rPr>
          <w:b/>
          <w:bCs/>
          <w:color w:val="4D4F53"/>
          <w:sz w:val="22"/>
          <w:szCs w:val="22"/>
        </w:rPr>
        <w:t xml:space="preserve">strategic </w:t>
      </w:r>
      <w:proofErr w:type="gramStart"/>
      <w:r w:rsidRPr="00CC2E71">
        <w:rPr>
          <w:b/>
          <w:bCs/>
          <w:color w:val="4D4F53"/>
          <w:sz w:val="22"/>
          <w:szCs w:val="22"/>
        </w:rPr>
        <w:t>governance</w:t>
      </w:r>
      <w:r w:rsidRPr="00CC2E71">
        <w:rPr>
          <w:color w:val="4D4F53"/>
          <w:sz w:val="22"/>
          <w:szCs w:val="22"/>
        </w:rPr>
        <w:t>—</w:t>
      </w:r>
      <w:proofErr w:type="gramEnd"/>
      <w:r w:rsidRPr="00CC2E71">
        <w:rPr>
          <w:color w:val="4D4F53"/>
          <w:sz w:val="22"/>
          <w:szCs w:val="22"/>
        </w:rPr>
        <w:t>the foundation that guides your organization’s direction, performance, and impact.</w:t>
      </w:r>
    </w:p>
    <w:p w14:paraId="4700B36A" w14:textId="77777777" w:rsidR="00B52330" w:rsidRPr="00CC2E71" w:rsidRDefault="00B52330" w:rsidP="00B52330">
      <w:pPr>
        <w:pStyle w:val="NoSpacing"/>
        <w:rPr>
          <w:color w:val="4D4F53"/>
          <w:sz w:val="22"/>
          <w:szCs w:val="22"/>
        </w:rPr>
      </w:pPr>
    </w:p>
    <w:p w14:paraId="00EFC29A" w14:textId="77777777" w:rsidR="00B52330" w:rsidRPr="00CC2E71" w:rsidRDefault="00B52330" w:rsidP="00B52330">
      <w:pPr>
        <w:pStyle w:val="NoSpacing"/>
        <w:rPr>
          <w:color w:val="4D4F53"/>
          <w:sz w:val="22"/>
          <w:szCs w:val="22"/>
        </w:rPr>
      </w:pPr>
      <w:r w:rsidRPr="00CC2E71">
        <w:rPr>
          <w:color w:val="4D4F53"/>
          <w:sz w:val="22"/>
          <w:szCs w:val="22"/>
        </w:rPr>
        <w:t>This tailored webinar series offers the tools, strategies, and insights needed to enhance your organization’s effectiveness and secure its long-term sustainability. Throughout the series, we’ll dive into essential topics that directly impact the future of serving older adults.</w:t>
      </w:r>
    </w:p>
    <w:p w14:paraId="0909404D" w14:textId="77777777" w:rsidR="00B52330" w:rsidRPr="00CC2E71" w:rsidRDefault="00B52330" w:rsidP="00B52330">
      <w:pPr>
        <w:pStyle w:val="NoSpacing"/>
        <w:rPr>
          <w:color w:val="4D4F53"/>
          <w:sz w:val="22"/>
          <w:szCs w:val="22"/>
        </w:rPr>
      </w:pPr>
    </w:p>
    <w:p w14:paraId="42F47FD9" w14:textId="77777777" w:rsidR="00B52330" w:rsidRPr="00CC2E71" w:rsidRDefault="00B52330" w:rsidP="00B52330">
      <w:pPr>
        <w:pStyle w:val="NoSpacing"/>
        <w:rPr>
          <w:color w:val="4D4F53"/>
          <w:sz w:val="22"/>
          <w:szCs w:val="22"/>
        </w:rPr>
      </w:pPr>
      <w:r w:rsidRPr="00CC2E71">
        <w:rPr>
          <w:color w:val="4D4F53"/>
          <w:sz w:val="22"/>
          <w:szCs w:val="22"/>
        </w:rPr>
        <w:t xml:space="preserve">Each session provides practical, actionable insights that you can apply immediately to strengthen your governance, improve financial health, and sharpen leadership strategies. </w:t>
      </w:r>
    </w:p>
    <w:p w14:paraId="38D97DD0" w14:textId="77777777" w:rsidR="00B52330" w:rsidRPr="00CC2E71" w:rsidRDefault="00B52330" w:rsidP="00B52330">
      <w:pPr>
        <w:pStyle w:val="NoSpacing"/>
        <w:rPr>
          <w:color w:val="4D4F53"/>
          <w:sz w:val="22"/>
          <w:szCs w:val="22"/>
        </w:rPr>
      </w:pPr>
    </w:p>
    <w:p w14:paraId="0ABC6BC8" w14:textId="77777777" w:rsidR="00B52330" w:rsidRPr="00CC2E71" w:rsidRDefault="00B52330" w:rsidP="00B52330">
      <w:pPr>
        <w:pStyle w:val="NoSpacing"/>
        <w:rPr>
          <w:color w:val="4D4F53"/>
          <w:sz w:val="22"/>
          <w:szCs w:val="22"/>
        </w:rPr>
      </w:pPr>
      <w:r w:rsidRPr="00CC2E71">
        <w:rPr>
          <w:color w:val="4D4F53"/>
          <w:sz w:val="22"/>
          <w:szCs w:val="22"/>
        </w:rPr>
        <w:t>You’ll leave with a clearer understanding of key decision-making areas that are crucial to advancing your mission and ensuring your organization thrives in today’s evolving landscape.</w:t>
      </w:r>
    </w:p>
    <w:p w14:paraId="797F9B9D" w14:textId="77777777" w:rsidR="00B52330" w:rsidRPr="00CC2E71" w:rsidRDefault="00B52330" w:rsidP="00B52330">
      <w:pPr>
        <w:pStyle w:val="NoSpacing"/>
        <w:rPr>
          <w:color w:val="4D4F53"/>
          <w:sz w:val="22"/>
          <w:szCs w:val="22"/>
        </w:rPr>
      </w:pPr>
    </w:p>
    <w:p w14:paraId="2F81CC93" w14:textId="77777777" w:rsidR="00B52330" w:rsidRPr="00CC2E71" w:rsidRDefault="00B52330" w:rsidP="00B52330">
      <w:pPr>
        <w:pStyle w:val="NoSpacing"/>
        <w:rPr>
          <w:color w:val="4D4F53"/>
          <w:sz w:val="22"/>
          <w:szCs w:val="22"/>
        </w:rPr>
      </w:pPr>
      <w:r w:rsidRPr="00CC2E71">
        <w:rPr>
          <w:color w:val="4D4F53"/>
          <w:sz w:val="22"/>
          <w:szCs w:val="22"/>
        </w:rPr>
        <w:t xml:space="preserve">Join us to gain the knowledge and tools necessary to lead with confidence, drive impactful </w:t>
      </w:r>
      <w:proofErr w:type="gramStart"/>
      <w:r w:rsidRPr="00CC2E71">
        <w:rPr>
          <w:color w:val="4D4F53"/>
          <w:sz w:val="22"/>
          <w:szCs w:val="22"/>
        </w:rPr>
        <w:t>change</w:t>
      </w:r>
      <w:proofErr w:type="gramEnd"/>
      <w:r w:rsidRPr="00CC2E71">
        <w:rPr>
          <w:color w:val="4D4F53"/>
          <w:sz w:val="22"/>
          <w:szCs w:val="22"/>
        </w:rPr>
        <w:t>, and sustain your organization for years to come.</w:t>
      </w:r>
    </w:p>
    <w:p w14:paraId="2191E4AB" w14:textId="77777777" w:rsidR="00B52330" w:rsidRPr="00CC2E71" w:rsidRDefault="00B52330" w:rsidP="00B52330">
      <w:pPr>
        <w:rPr>
          <w:color w:val="4D4F53"/>
          <w:sz w:val="20"/>
          <w:szCs w:val="20"/>
        </w:rPr>
      </w:pPr>
    </w:p>
    <w:p w14:paraId="52A91992" w14:textId="62B3193F" w:rsidR="006070DB" w:rsidRPr="00CC2E71" w:rsidRDefault="006070DB" w:rsidP="00843FE9">
      <w:pPr>
        <w:spacing w:after="0" w:line="240" w:lineRule="auto"/>
        <w:rPr>
          <w:b/>
          <w:bCs/>
          <w:color w:val="4D4F53"/>
        </w:rPr>
      </w:pPr>
      <w:r w:rsidRPr="00CC2E71">
        <w:rPr>
          <w:b/>
          <w:bCs/>
          <w:color w:val="4D4F53"/>
        </w:rPr>
        <w:br w:type="page"/>
      </w:r>
    </w:p>
    <w:p w14:paraId="11A0CF6F" w14:textId="77777777" w:rsidR="00BF211E" w:rsidRPr="004F3B44" w:rsidRDefault="00BF211E" w:rsidP="00BF211E">
      <w:pPr>
        <w:jc w:val="center"/>
        <w:rPr>
          <w:b/>
          <w:bCs/>
          <w:color w:val="799A3D"/>
          <w:sz w:val="20"/>
          <w:szCs w:val="20"/>
        </w:rPr>
      </w:pPr>
    </w:p>
    <w:p w14:paraId="6C3BE8AE" w14:textId="2CC9BBBC" w:rsidR="00BF211E" w:rsidRPr="00BF211E" w:rsidRDefault="00BF211E" w:rsidP="00BF211E">
      <w:pPr>
        <w:jc w:val="center"/>
        <w:rPr>
          <w:b/>
          <w:bCs/>
          <w:color w:val="799A3D"/>
          <w:sz w:val="28"/>
          <w:szCs w:val="28"/>
        </w:rPr>
      </w:pPr>
      <w:r w:rsidRPr="00BF211E">
        <w:rPr>
          <w:b/>
          <w:bCs/>
          <w:color w:val="799A3D"/>
          <w:sz w:val="28"/>
          <w:szCs w:val="28"/>
        </w:rPr>
        <w:t xml:space="preserve">Wednesday, February 26, </w:t>
      </w:r>
      <w:proofErr w:type="gramStart"/>
      <w:r w:rsidRPr="00BF211E">
        <w:rPr>
          <w:b/>
          <w:bCs/>
          <w:color w:val="799A3D"/>
          <w:sz w:val="28"/>
          <w:szCs w:val="28"/>
        </w:rPr>
        <w:t>2025</w:t>
      </w:r>
      <w:proofErr w:type="gramEnd"/>
      <w:r w:rsidRPr="00BF211E">
        <w:rPr>
          <w:b/>
          <w:bCs/>
          <w:color w:val="799A3D"/>
          <w:sz w:val="28"/>
          <w:szCs w:val="28"/>
        </w:rPr>
        <w:t xml:space="preserve"> | 2:00 pm – 3:00</w:t>
      </w:r>
      <w:r w:rsidR="00D00E54">
        <w:rPr>
          <w:b/>
          <w:bCs/>
          <w:color w:val="799A3D"/>
          <w:sz w:val="28"/>
          <w:szCs w:val="28"/>
        </w:rPr>
        <w:t xml:space="preserve"> </w:t>
      </w:r>
      <w:r w:rsidRPr="00BF211E">
        <w:rPr>
          <w:b/>
          <w:bCs/>
          <w:color w:val="799A3D"/>
          <w:sz w:val="28"/>
          <w:szCs w:val="28"/>
        </w:rPr>
        <w:t>pm EST</w:t>
      </w:r>
    </w:p>
    <w:p w14:paraId="32F83D1F" w14:textId="6889BF1A" w:rsidR="00BF211E" w:rsidRDefault="00394706" w:rsidP="00BF211E">
      <w:pPr>
        <w:jc w:val="center"/>
        <w:rPr>
          <w:b/>
          <w:bCs/>
          <w:i/>
          <w:iCs/>
          <w:color w:val="4D4F53"/>
        </w:rPr>
      </w:pPr>
      <w:r w:rsidRPr="00BF211E">
        <w:rPr>
          <w:b/>
          <w:bCs/>
          <w:color w:val="4D4F53"/>
        </w:rPr>
        <w:t>Governance is a Team Sport: The Key to Creating a High-Quality Board</w:t>
      </w:r>
      <w:r w:rsidR="00BF211E">
        <w:rPr>
          <w:b/>
          <w:bCs/>
          <w:color w:val="4D4F53"/>
        </w:rPr>
        <w:br/>
      </w:r>
      <w:r w:rsidR="00BF211E">
        <w:rPr>
          <w:b/>
          <w:bCs/>
          <w:i/>
          <w:iCs/>
          <w:color w:val="4D4F53"/>
        </w:rPr>
        <w:t>Diane Burfeindt, Managing Principal, Trilogy Connect</w:t>
      </w:r>
    </w:p>
    <w:p w14:paraId="379F2EEE" w14:textId="77777777" w:rsidR="00BF211E" w:rsidRDefault="00BF211E" w:rsidP="00BF211E">
      <w:pPr>
        <w:jc w:val="center"/>
        <w:rPr>
          <w:b/>
          <w:bCs/>
          <w:i/>
          <w:iCs/>
          <w:color w:val="4D4F53"/>
        </w:rPr>
      </w:pPr>
    </w:p>
    <w:p w14:paraId="482F984C" w14:textId="7D1702E5" w:rsidR="00BF211E" w:rsidRPr="0027563A" w:rsidRDefault="00BF211E" w:rsidP="00BF211E">
      <w:pPr>
        <w:pStyle w:val="NoSpacing"/>
        <w:rPr>
          <w:color w:val="4D4F53"/>
          <w:sz w:val="21"/>
          <w:szCs w:val="21"/>
        </w:rPr>
      </w:pPr>
      <w:r w:rsidRPr="00BF211E">
        <w:rPr>
          <w:b/>
          <w:bCs/>
          <w:color w:val="4D4F53"/>
          <w:sz w:val="22"/>
          <w:szCs w:val="22"/>
        </w:rPr>
        <w:t>Session Description:</w:t>
      </w:r>
      <w:r w:rsidRPr="00BF211E">
        <w:rPr>
          <w:b/>
          <w:bCs/>
          <w:color w:val="4D4F53"/>
          <w:sz w:val="22"/>
          <w:szCs w:val="22"/>
        </w:rPr>
        <w:br/>
      </w:r>
      <w:r w:rsidRPr="0027563A">
        <w:rPr>
          <w:color w:val="4D4F53"/>
          <w:sz w:val="21"/>
          <w:szCs w:val="21"/>
        </w:rPr>
        <w:t xml:space="preserve">Many non-profit organizations are facing a crisis of volunteer leadership due to a variety of factors, and senior living is particularly impacted due to the complexity of the field and the lasting impact of the pandemic. A key to retaining and recruiting a best-in-class board is to ensure that the skillsets at the table are used to their fullest potential. In discussions with members of aging services boards across the nation, many say that they have difficulty contributing because they “don’t know the industry”. This is an indication that organizational leadership may not be utilizing their board in a way that taps into the knowledge and experience of members, is helpful to leadership, and ensures the fiduciary responsibilities of the governing body. </w:t>
      </w:r>
    </w:p>
    <w:p w14:paraId="077FE043" w14:textId="77777777" w:rsidR="00BF211E" w:rsidRPr="004F3B44" w:rsidRDefault="00BF211E" w:rsidP="00BF211E">
      <w:pPr>
        <w:pStyle w:val="NoSpacing"/>
        <w:rPr>
          <w:color w:val="4D4F53"/>
          <w:sz w:val="18"/>
          <w:szCs w:val="18"/>
        </w:rPr>
      </w:pPr>
    </w:p>
    <w:p w14:paraId="64F2712D" w14:textId="77777777" w:rsidR="00BF211E" w:rsidRPr="0027563A" w:rsidRDefault="00BF211E" w:rsidP="00BF211E">
      <w:pPr>
        <w:pStyle w:val="NoSpacing"/>
        <w:rPr>
          <w:color w:val="4D4F53"/>
          <w:sz w:val="21"/>
          <w:szCs w:val="21"/>
        </w:rPr>
      </w:pPr>
      <w:r w:rsidRPr="0027563A">
        <w:rPr>
          <w:color w:val="4D4F53"/>
          <w:sz w:val="21"/>
          <w:szCs w:val="21"/>
        </w:rPr>
        <w:t xml:space="preserve">In this session, participants will learn about the critical success factors in creating and maintaining a high-quality board, including the role of board process in creating opportunities for input, perspective, and engagement. Topics include the role of strategy and maintaining strategic oversight throughout the year; developing generative discussions to advance strategic thought and utilize board member skillsets; the use of committees to advance work and broader decision-making, and the setting of expectations for board members. Insight from representatives of member organizations, as well as case studies and examples from large and small senior living organizations across the US, will provide practical insight that attendees can use to ensure the continued success of their organization and a productive relationship with their board. </w:t>
      </w:r>
    </w:p>
    <w:p w14:paraId="3EC7E6A6" w14:textId="77777777" w:rsidR="00BF211E" w:rsidRPr="00BF211E" w:rsidRDefault="00BF211E" w:rsidP="00BF211E">
      <w:pPr>
        <w:pStyle w:val="NoSpacing"/>
        <w:rPr>
          <w:color w:val="4D4F53"/>
          <w:sz w:val="22"/>
          <w:szCs w:val="22"/>
        </w:rPr>
      </w:pPr>
    </w:p>
    <w:p w14:paraId="3C54C195" w14:textId="177E46A9" w:rsidR="00BF211E" w:rsidRDefault="004F2BFC" w:rsidP="00BF211E">
      <w:pPr>
        <w:pStyle w:val="NoSpacing"/>
        <w:rPr>
          <w:b/>
          <w:bCs/>
          <w:color w:val="4D4F53"/>
          <w:sz w:val="22"/>
          <w:szCs w:val="22"/>
        </w:rPr>
      </w:pPr>
      <w:r>
        <w:rPr>
          <w:b/>
          <w:bCs/>
          <w:color w:val="4D4F53"/>
          <w:sz w:val="22"/>
          <w:szCs w:val="22"/>
        </w:rPr>
        <w:t>Following this session</w:t>
      </w:r>
      <w:r w:rsidR="00BF211E" w:rsidRPr="00BF211E">
        <w:rPr>
          <w:b/>
          <w:bCs/>
          <w:color w:val="4D4F53"/>
          <w:sz w:val="22"/>
          <w:szCs w:val="22"/>
        </w:rPr>
        <w:t>, you will be able to:</w:t>
      </w:r>
    </w:p>
    <w:p w14:paraId="43ECB5D2" w14:textId="75A642E6" w:rsidR="00BF211E" w:rsidRPr="0027563A" w:rsidRDefault="00BF211E" w:rsidP="00BF211E">
      <w:pPr>
        <w:pStyle w:val="NoSpacing"/>
        <w:numPr>
          <w:ilvl w:val="0"/>
          <w:numId w:val="3"/>
        </w:numPr>
        <w:rPr>
          <w:color w:val="4D4F53"/>
          <w:sz w:val="21"/>
          <w:szCs w:val="21"/>
        </w:rPr>
      </w:pPr>
      <w:r w:rsidRPr="0027563A">
        <w:rPr>
          <w:color w:val="4D4F53"/>
          <w:sz w:val="21"/>
          <w:szCs w:val="21"/>
        </w:rPr>
        <w:t>Identify the critical success factors in creating a high-quality board in today's dynamic environment</w:t>
      </w:r>
      <w:r w:rsidR="00D00E54" w:rsidRPr="0027563A">
        <w:rPr>
          <w:color w:val="4D4F53"/>
          <w:sz w:val="21"/>
          <w:szCs w:val="21"/>
        </w:rPr>
        <w:t>.</w:t>
      </w:r>
    </w:p>
    <w:p w14:paraId="6B081766" w14:textId="77777777" w:rsidR="00BF211E" w:rsidRPr="0027563A" w:rsidRDefault="00BF211E" w:rsidP="00BF211E">
      <w:pPr>
        <w:pStyle w:val="NoSpacing"/>
        <w:numPr>
          <w:ilvl w:val="0"/>
          <w:numId w:val="3"/>
        </w:numPr>
        <w:rPr>
          <w:color w:val="4D4F53"/>
          <w:sz w:val="21"/>
          <w:szCs w:val="21"/>
        </w:rPr>
      </w:pPr>
      <w:r w:rsidRPr="0027563A">
        <w:rPr>
          <w:color w:val="4D4F53"/>
          <w:sz w:val="21"/>
          <w:szCs w:val="21"/>
        </w:rPr>
        <w:t xml:space="preserve">Recognize the signs of the decline of board effectiveness and understand techniques to ensure board process attracts good board participants. </w:t>
      </w:r>
    </w:p>
    <w:p w14:paraId="3076834A" w14:textId="77777777" w:rsidR="00BF211E" w:rsidRPr="0027563A" w:rsidRDefault="00BF211E" w:rsidP="00BF211E">
      <w:pPr>
        <w:pStyle w:val="NoSpacing"/>
        <w:numPr>
          <w:ilvl w:val="0"/>
          <w:numId w:val="3"/>
        </w:numPr>
        <w:rPr>
          <w:color w:val="4D4F53"/>
          <w:sz w:val="21"/>
          <w:szCs w:val="21"/>
        </w:rPr>
      </w:pPr>
      <w:r w:rsidRPr="0027563A">
        <w:rPr>
          <w:color w:val="4D4F53"/>
          <w:sz w:val="21"/>
          <w:szCs w:val="21"/>
        </w:rPr>
        <w:t xml:space="preserve">Apply the learning to their organization to ensure the aging services field has the necessary leadership to be successful in the future. </w:t>
      </w:r>
    </w:p>
    <w:p w14:paraId="0BFEC602" w14:textId="77777777" w:rsidR="0027563A" w:rsidRDefault="0027563A" w:rsidP="0027563A">
      <w:pPr>
        <w:spacing w:after="0" w:line="240" w:lineRule="auto"/>
        <w:rPr>
          <w:color w:val="799A3D"/>
          <w:sz w:val="22"/>
          <w:szCs w:val="22"/>
        </w:rPr>
      </w:pPr>
    </w:p>
    <w:p w14:paraId="331E3488" w14:textId="048F6412" w:rsidR="0027563A" w:rsidRPr="004F3B44" w:rsidRDefault="0027563A" w:rsidP="0027563A">
      <w:pPr>
        <w:spacing w:after="0" w:line="240" w:lineRule="auto"/>
        <w:rPr>
          <w:b/>
          <w:bCs/>
          <w:color w:val="799A3D"/>
          <w:sz w:val="22"/>
          <w:szCs w:val="22"/>
        </w:rPr>
      </w:pPr>
      <w:r w:rsidRPr="004F3B44">
        <w:rPr>
          <w:b/>
          <w:bCs/>
          <w:color w:val="799A3D"/>
          <w:sz w:val="22"/>
          <w:szCs w:val="22"/>
        </w:rPr>
        <w:t>This program has been approved for Continuing Education for 1 participant hour of the four total available in the series by NAB/NCERS—Approval #</w:t>
      </w:r>
      <w:r w:rsidRPr="004F3B44">
        <w:rPr>
          <w:b/>
          <w:bCs/>
          <w:sz w:val="22"/>
          <w:szCs w:val="22"/>
        </w:rPr>
        <w:t xml:space="preserve"> </w:t>
      </w:r>
      <w:r w:rsidRPr="004F3B44">
        <w:rPr>
          <w:b/>
          <w:bCs/>
          <w:color w:val="799A3D"/>
          <w:sz w:val="22"/>
          <w:szCs w:val="22"/>
        </w:rPr>
        <w:t xml:space="preserve">20260225-4-A109640-DL.  </w:t>
      </w:r>
    </w:p>
    <w:p w14:paraId="05B1BEDD" w14:textId="77777777" w:rsidR="00BF211E" w:rsidRDefault="00BF211E" w:rsidP="00BF211E">
      <w:pPr>
        <w:pStyle w:val="NoSpacing"/>
        <w:rPr>
          <w:color w:val="4D4F53"/>
          <w:sz w:val="22"/>
          <w:szCs w:val="22"/>
        </w:rPr>
      </w:pPr>
    </w:p>
    <w:p w14:paraId="39140342" w14:textId="77777777" w:rsidR="00BF211E" w:rsidRDefault="00BF211E" w:rsidP="00BF211E">
      <w:pPr>
        <w:pStyle w:val="NoSpacing"/>
        <w:rPr>
          <w:color w:val="4D4F53"/>
          <w:sz w:val="22"/>
          <w:szCs w:val="22"/>
        </w:rPr>
      </w:pPr>
    </w:p>
    <w:p w14:paraId="24A9BBC6" w14:textId="77777777" w:rsidR="00BF211E" w:rsidRPr="00BF211E" w:rsidRDefault="00BF211E" w:rsidP="00BF211E">
      <w:pPr>
        <w:pStyle w:val="NoSpacing"/>
        <w:rPr>
          <w:color w:val="4D4F53"/>
          <w:sz w:val="22"/>
          <w:szCs w:val="22"/>
        </w:rPr>
      </w:pPr>
    </w:p>
    <w:p w14:paraId="289BE6C4" w14:textId="5F5C5F01" w:rsidR="00BF211E" w:rsidRPr="00BF211E" w:rsidRDefault="00BF211E" w:rsidP="00BF211E">
      <w:pPr>
        <w:jc w:val="center"/>
        <w:rPr>
          <w:b/>
          <w:bCs/>
          <w:color w:val="799A3D"/>
          <w:sz w:val="28"/>
          <w:szCs w:val="28"/>
        </w:rPr>
      </w:pPr>
      <w:r>
        <w:rPr>
          <w:b/>
          <w:bCs/>
          <w:color w:val="799A3D"/>
          <w:sz w:val="28"/>
          <w:szCs w:val="28"/>
        </w:rPr>
        <w:t>Tuesday</w:t>
      </w:r>
      <w:r w:rsidRPr="00BF211E">
        <w:rPr>
          <w:b/>
          <w:bCs/>
          <w:color w:val="799A3D"/>
          <w:sz w:val="28"/>
          <w:szCs w:val="28"/>
        </w:rPr>
        <w:t xml:space="preserve">, </w:t>
      </w:r>
      <w:r>
        <w:rPr>
          <w:b/>
          <w:bCs/>
          <w:color w:val="799A3D"/>
          <w:sz w:val="28"/>
          <w:szCs w:val="28"/>
        </w:rPr>
        <w:t>March</w:t>
      </w:r>
      <w:r w:rsidRPr="00BF211E">
        <w:rPr>
          <w:b/>
          <w:bCs/>
          <w:color w:val="799A3D"/>
          <w:sz w:val="28"/>
          <w:szCs w:val="28"/>
        </w:rPr>
        <w:t xml:space="preserve"> </w:t>
      </w:r>
      <w:r>
        <w:rPr>
          <w:b/>
          <w:bCs/>
          <w:color w:val="799A3D"/>
          <w:sz w:val="28"/>
          <w:szCs w:val="28"/>
        </w:rPr>
        <w:t>4</w:t>
      </w:r>
      <w:r w:rsidRPr="00BF211E">
        <w:rPr>
          <w:b/>
          <w:bCs/>
          <w:color w:val="799A3D"/>
          <w:sz w:val="28"/>
          <w:szCs w:val="28"/>
        </w:rPr>
        <w:t xml:space="preserve">, </w:t>
      </w:r>
      <w:proofErr w:type="gramStart"/>
      <w:r w:rsidRPr="00BF211E">
        <w:rPr>
          <w:b/>
          <w:bCs/>
          <w:color w:val="799A3D"/>
          <w:sz w:val="28"/>
          <w:szCs w:val="28"/>
        </w:rPr>
        <w:t>2025</w:t>
      </w:r>
      <w:proofErr w:type="gramEnd"/>
      <w:r w:rsidRPr="00BF211E">
        <w:rPr>
          <w:b/>
          <w:bCs/>
          <w:color w:val="799A3D"/>
          <w:sz w:val="28"/>
          <w:szCs w:val="28"/>
        </w:rPr>
        <w:t xml:space="preserve"> | 2:00 pm – 3:00</w:t>
      </w:r>
      <w:r w:rsidR="00D00E54">
        <w:rPr>
          <w:b/>
          <w:bCs/>
          <w:color w:val="799A3D"/>
          <w:sz w:val="28"/>
          <w:szCs w:val="28"/>
        </w:rPr>
        <w:t xml:space="preserve"> </w:t>
      </w:r>
      <w:r w:rsidRPr="00BF211E">
        <w:rPr>
          <w:b/>
          <w:bCs/>
          <w:color w:val="799A3D"/>
          <w:sz w:val="28"/>
          <w:szCs w:val="28"/>
        </w:rPr>
        <w:t>pm EST</w:t>
      </w:r>
    </w:p>
    <w:p w14:paraId="7FF0B116" w14:textId="5BFB5F4A" w:rsidR="00BF211E" w:rsidRDefault="00BF211E" w:rsidP="00BF211E">
      <w:pPr>
        <w:jc w:val="center"/>
        <w:rPr>
          <w:b/>
          <w:bCs/>
          <w:i/>
          <w:iCs/>
          <w:color w:val="4D4F53"/>
        </w:rPr>
      </w:pPr>
      <w:r>
        <w:rPr>
          <w:b/>
          <w:bCs/>
          <w:color w:val="4D4F53"/>
        </w:rPr>
        <w:t>Strategic Revenue Diversification</w:t>
      </w:r>
      <w:r>
        <w:rPr>
          <w:b/>
          <w:bCs/>
          <w:color w:val="4D4F53"/>
        </w:rPr>
        <w:br/>
      </w:r>
      <w:r>
        <w:rPr>
          <w:b/>
          <w:bCs/>
          <w:i/>
          <w:iCs/>
          <w:color w:val="4D4F53"/>
        </w:rPr>
        <w:t>Dana Wollschlager, Partner &amp; Practice Leader, Plante Moran Living Forward</w:t>
      </w:r>
    </w:p>
    <w:p w14:paraId="30D2BCAC" w14:textId="77777777" w:rsidR="00BF211E" w:rsidRDefault="00BF211E" w:rsidP="00BF211E">
      <w:pPr>
        <w:jc w:val="center"/>
        <w:rPr>
          <w:b/>
          <w:bCs/>
          <w:i/>
          <w:iCs/>
          <w:color w:val="4D4F53"/>
        </w:rPr>
      </w:pPr>
    </w:p>
    <w:p w14:paraId="1FB28757" w14:textId="0F72305F" w:rsidR="00BF211E" w:rsidRPr="0010509F" w:rsidRDefault="00BF211E" w:rsidP="00BF211E">
      <w:pPr>
        <w:pStyle w:val="NoSpacing"/>
        <w:rPr>
          <w:b/>
          <w:bCs/>
          <w:color w:val="4D4F53"/>
          <w:sz w:val="22"/>
          <w:szCs w:val="22"/>
        </w:rPr>
      </w:pPr>
      <w:r w:rsidRPr="0010509F">
        <w:rPr>
          <w:b/>
          <w:bCs/>
          <w:color w:val="4D4F53"/>
          <w:sz w:val="22"/>
          <w:szCs w:val="22"/>
        </w:rPr>
        <w:t>Session Description:</w:t>
      </w:r>
    </w:p>
    <w:p w14:paraId="53310B29" w14:textId="77777777" w:rsidR="00BF211E" w:rsidRPr="0010509F" w:rsidRDefault="00BF211E" w:rsidP="00BF211E">
      <w:pPr>
        <w:pStyle w:val="NoSpacing"/>
        <w:rPr>
          <w:color w:val="4D4F53"/>
          <w:sz w:val="22"/>
          <w:szCs w:val="22"/>
        </w:rPr>
      </w:pPr>
      <w:r w:rsidRPr="0010509F">
        <w:rPr>
          <w:color w:val="4D4F53"/>
          <w:sz w:val="22"/>
          <w:szCs w:val="22"/>
        </w:rPr>
        <w:t>In an ever-evolving senior living business landscape, boards must think beyond their current business models to ensure long-term sustainability and growth. We will explore how your boards can diversify your organization’s revenue streams by expanding into new business lines, services, and partnerships. You will gain insights into strategic planning processes that foster financial resilience and adaptability. Join us for an in-depth discussion focused on identifying opportunities for diversification, assessing new revenue models, and implementing effective strategies for growth.</w:t>
      </w:r>
    </w:p>
    <w:p w14:paraId="7ED401EC" w14:textId="77777777" w:rsidR="00BF211E" w:rsidRPr="0010509F" w:rsidRDefault="00BF211E" w:rsidP="00BF211E">
      <w:pPr>
        <w:pStyle w:val="NoSpacing"/>
        <w:rPr>
          <w:color w:val="4D4F53"/>
          <w:sz w:val="22"/>
          <w:szCs w:val="22"/>
        </w:rPr>
      </w:pPr>
    </w:p>
    <w:p w14:paraId="1FA10F86" w14:textId="77777777" w:rsidR="00BF211E" w:rsidRPr="0010509F" w:rsidRDefault="00BF211E" w:rsidP="00BF211E">
      <w:pPr>
        <w:pStyle w:val="NoSpacing"/>
        <w:rPr>
          <w:b/>
          <w:bCs/>
          <w:color w:val="4D4F53"/>
          <w:sz w:val="22"/>
          <w:szCs w:val="22"/>
        </w:rPr>
      </w:pPr>
      <w:r w:rsidRPr="0010509F">
        <w:rPr>
          <w:b/>
          <w:bCs/>
          <w:color w:val="4D4F53"/>
          <w:sz w:val="22"/>
          <w:szCs w:val="22"/>
        </w:rPr>
        <w:t>Following this session, you will be able to:</w:t>
      </w:r>
    </w:p>
    <w:p w14:paraId="0CAAE360" w14:textId="7AC0288D" w:rsidR="00D00E54" w:rsidRPr="0010509F" w:rsidRDefault="00BF211E" w:rsidP="00BF211E">
      <w:pPr>
        <w:pStyle w:val="NoSpacing"/>
        <w:numPr>
          <w:ilvl w:val="0"/>
          <w:numId w:val="4"/>
        </w:numPr>
        <w:rPr>
          <w:color w:val="4D4F53"/>
          <w:sz w:val="22"/>
          <w:szCs w:val="22"/>
        </w:rPr>
      </w:pPr>
      <w:r w:rsidRPr="0010509F">
        <w:rPr>
          <w:color w:val="4D4F53"/>
          <w:sz w:val="22"/>
          <w:szCs w:val="22"/>
        </w:rPr>
        <w:t>Equip your board members with the knowledge to think strategically beyond existing business models, identify new revenue opportunities, and proactively plan for growth.</w:t>
      </w:r>
    </w:p>
    <w:p w14:paraId="465458FF" w14:textId="77777777" w:rsidR="00D00E54" w:rsidRPr="0010509F" w:rsidRDefault="00D00E54" w:rsidP="00BF211E">
      <w:pPr>
        <w:pStyle w:val="NoSpacing"/>
        <w:numPr>
          <w:ilvl w:val="0"/>
          <w:numId w:val="4"/>
        </w:numPr>
        <w:rPr>
          <w:color w:val="4D4F53"/>
          <w:sz w:val="22"/>
          <w:szCs w:val="22"/>
        </w:rPr>
      </w:pPr>
      <w:r w:rsidRPr="0010509F">
        <w:rPr>
          <w:color w:val="4D4F53"/>
          <w:sz w:val="22"/>
          <w:szCs w:val="22"/>
        </w:rPr>
        <w:t>Identify critical questions and considerations your board should address when exploring diversification options, ensuring that new revenue streams align with your organization’s mission and long-term goals.</w:t>
      </w:r>
    </w:p>
    <w:p w14:paraId="022E06EE" w14:textId="77777777" w:rsidR="00D00E54" w:rsidRPr="0010509F" w:rsidRDefault="00D00E54" w:rsidP="00BF211E">
      <w:pPr>
        <w:pStyle w:val="NoSpacing"/>
        <w:numPr>
          <w:ilvl w:val="0"/>
          <w:numId w:val="4"/>
        </w:numPr>
        <w:rPr>
          <w:color w:val="4D4F53"/>
          <w:sz w:val="22"/>
          <w:szCs w:val="22"/>
        </w:rPr>
      </w:pPr>
      <w:r w:rsidRPr="0010509F">
        <w:rPr>
          <w:color w:val="4D4F53"/>
          <w:sz w:val="22"/>
          <w:szCs w:val="22"/>
        </w:rPr>
        <w:t>Discuss how varying levels of risk tolerance and potential partnerships can influence strategic decisions and drive sustainable revenue diversification and growth.</w:t>
      </w:r>
    </w:p>
    <w:p w14:paraId="1FA3A9BF" w14:textId="77777777" w:rsidR="00D00E54" w:rsidRPr="0010509F" w:rsidRDefault="00D00E54" w:rsidP="00BF211E">
      <w:pPr>
        <w:pStyle w:val="NoSpacing"/>
        <w:numPr>
          <w:ilvl w:val="0"/>
          <w:numId w:val="4"/>
        </w:numPr>
        <w:rPr>
          <w:color w:val="4D4F53"/>
          <w:sz w:val="22"/>
          <w:szCs w:val="22"/>
        </w:rPr>
      </w:pPr>
      <w:r w:rsidRPr="0010509F">
        <w:rPr>
          <w:color w:val="4D4F53"/>
          <w:sz w:val="22"/>
          <w:szCs w:val="22"/>
        </w:rPr>
        <w:t>Develop actionable frameworks and tools to assess, plan, and implement effective revenue diversification strategies tailored to your specific organizational needs.</w:t>
      </w:r>
    </w:p>
    <w:p w14:paraId="5E1185E9" w14:textId="77777777" w:rsidR="00D00E54" w:rsidRDefault="00D00E54" w:rsidP="00D00E54">
      <w:pPr>
        <w:pStyle w:val="NoSpacing"/>
        <w:rPr>
          <w:color w:val="4D4F53"/>
          <w:sz w:val="22"/>
          <w:szCs w:val="22"/>
        </w:rPr>
      </w:pPr>
    </w:p>
    <w:p w14:paraId="2B137CC3" w14:textId="77777777" w:rsidR="004F3B44" w:rsidRPr="004F3B44" w:rsidRDefault="004F3B44" w:rsidP="004F3B44">
      <w:pPr>
        <w:spacing w:after="0" w:line="240" w:lineRule="auto"/>
        <w:rPr>
          <w:b/>
          <w:bCs/>
          <w:color w:val="799A3D"/>
          <w:sz w:val="22"/>
          <w:szCs w:val="22"/>
        </w:rPr>
      </w:pPr>
      <w:r w:rsidRPr="004F3B44">
        <w:rPr>
          <w:b/>
          <w:bCs/>
          <w:color w:val="799A3D"/>
          <w:sz w:val="22"/>
          <w:szCs w:val="22"/>
        </w:rPr>
        <w:t>This program has been approved for Continuing Education for 1 participant hour of the four total available in the series by NAB/NCERS—Approval #</w:t>
      </w:r>
      <w:r w:rsidRPr="004F3B44">
        <w:rPr>
          <w:b/>
          <w:bCs/>
          <w:sz w:val="22"/>
          <w:szCs w:val="22"/>
        </w:rPr>
        <w:t xml:space="preserve"> </w:t>
      </w:r>
      <w:r w:rsidRPr="004F3B44">
        <w:rPr>
          <w:b/>
          <w:bCs/>
          <w:color w:val="799A3D"/>
          <w:sz w:val="22"/>
          <w:szCs w:val="22"/>
        </w:rPr>
        <w:t xml:space="preserve">20260225-4-A109640-DL.  </w:t>
      </w:r>
    </w:p>
    <w:p w14:paraId="005EE40A" w14:textId="77777777" w:rsidR="0010509F" w:rsidRDefault="0010509F" w:rsidP="00D00E54">
      <w:pPr>
        <w:pStyle w:val="NoSpacing"/>
        <w:rPr>
          <w:color w:val="4D4F53"/>
          <w:sz w:val="22"/>
          <w:szCs w:val="22"/>
        </w:rPr>
      </w:pPr>
    </w:p>
    <w:p w14:paraId="7D396A84" w14:textId="77777777" w:rsidR="0010509F" w:rsidRDefault="0010509F" w:rsidP="00D00E54">
      <w:pPr>
        <w:pStyle w:val="NoSpacing"/>
        <w:rPr>
          <w:color w:val="4D4F53"/>
          <w:sz w:val="22"/>
          <w:szCs w:val="22"/>
        </w:rPr>
      </w:pPr>
    </w:p>
    <w:p w14:paraId="21071B00" w14:textId="77777777" w:rsidR="0010509F" w:rsidRDefault="0010509F" w:rsidP="00D00E54">
      <w:pPr>
        <w:pStyle w:val="NoSpacing"/>
        <w:rPr>
          <w:color w:val="4D4F53"/>
          <w:sz w:val="22"/>
          <w:szCs w:val="22"/>
        </w:rPr>
      </w:pPr>
    </w:p>
    <w:p w14:paraId="289CBCC6" w14:textId="77777777" w:rsidR="0010509F" w:rsidRPr="0010509F" w:rsidRDefault="0010509F" w:rsidP="00D00E54">
      <w:pPr>
        <w:pStyle w:val="NoSpacing"/>
        <w:rPr>
          <w:color w:val="4D4F53"/>
          <w:sz w:val="22"/>
          <w:szCs w:val="22"/>
        </w:rPr>
      </w:pPr>
    </w:p>
    <w:p w14:paraId="1D1BB2D4" w14:textId="77777777" w:rsidR="00D00E54" w:rsidRPr="0010509F" w:rsidRDefault="00D00E54" w:rsidP="00D00E54">
      <w:pPr>
        <w:pStyle w:val="NoSpacing"/>
        <w:rPr>
          <w:color w:val="4D4F53"/>
          <w:sz w:val="22"/>
          <w:szCs w:val="22"/>
        </w:rPr>
      </w:pPr>
    </w:p>
    <w:p w14:paraId="2F8DA9F4" w14:textId="77777777" w:rsidR="00D00E54" w:rsidRPr="0010509F" w:rsidRDefault="00D00E54" w:rsidP="00D00E54">
      <w:pPr>
        <w:pStyle w:val="NoSpacing"/>
        <w:rPr>
          <w:color w:val="4D4F53"/>
          <w:sz w:val="22"/>
          <w:szCs w:val="22"/>
        </w:rPr>
      </w:pPr>
    </w:p>
    <w:p w14:paraId="554ECD89" w14:textId="77777777" w:rsidR="00D00E54" w:rsidRDefault="00D00E54" w:rsidP="00D00E54">
      <w:pPr>
        <w:pStyle w:val="NoSpacing"/>
        <w:rPr>
          <w:color w:val="4D4F53"/>
        </w:rPr>
      </w:pPr>
    </w:p>
    <w:p w14:paraId="06C57A21" w14:textId="77777777" w:rsidR="00D00E54" w:rsidRDefault="00D00E54" w:rsidP="00D00E54">
      <w:pPr>
        <w:pStyle w:val="NoSpacing"/>
        <w:rPr>
          <w:color w:val="4D4F53"/>
        </w:rPr>
      </w:pPr>
    </w:p>
    <w:p w14:paraId="5E856777" w14:textId="3D299D21" w:rsidR="00BF211E" w:rsidRPr="00BF211E" w:rsidRDefault="00BF211E" w:rsidP="00D00E54">
      <w:pPr>
        <w:pStyle w:val="NoSpacing"/>
        <w:rPr>
          <w:color w:val="4D4F53"/>
        </w:rPr>
      </w:pPr>
    </w:p>
    <w:p w14:paraId="26CA8D0A" w14:textId="0661573C" w:rsidR="00D00E54" w:rsidRPr="00BF211E" w:rsidRDefault="00D00E54" w:rsidP="00D00E54">
      <w:pPr>
        <w:jc w:val="center"/>
        <w:rPr>
          <w:b/>
          <w:bCs/>
          <w:color w:val="799A3D"/>
          <w:sz w:val="28"/>
          <w:szCs w:val="28"/>
        </w:rPr>
      </w:pPr>
      <w:r>
        <w:rPr>
          <w:b/>
          <w:bCs/>
          <w:color w:val="799A3D"/>
          <w:sz w:val="28"/>
          <w:szCs w:val="28"/>
        </w:rPr>
        <w:t>Tuesday</w:t>
      </w:r>
      <w:r w:rsidRPr="00BF211E">
        <w:rPr>
          <w:b/>
          <w:bCs/>
          <w:color w:val="799A3D"/>
          <w:sz w:val="28"/>
          <w:szCs w:val="28"/>
        </w:rPr>
        <w:t xml:space="preserve">, </w:t>
      </w:r>
      <w:r>
        <w:rPr>
          <w:b/>
          <w:bCs/>
          <w:color w:val="799A3D"/>
          <w:sz w:val="28"/>
          <w:szCs w:val="28"/>
        </w:rPr>
        <w:t>March</w:t>
      </w:r>
      <w:r w:rsidRPr="00BF211E">
        <w:rPr>
          <w:b/>
          <w:bCs/>
          <w:color w:val="799A3D"/>
          <w:sz w:val="28"/>
          <w:szCs w:val="28"/>
        </w:rPr>
        <w:t xml:space="preserve"> </w:t>
      </w:r>
      <w:r>
        <w:rPr>
          <w:b/>
          <w:bCs/>
          <w:color w:val="799A3D"/>
          <w:sz w:val="28"/>
          <w:szCs w:val="28"/>
        </w:rPr>
        <w:t>11</w:t>
      </w:r>
      <w:r w:rsidRPr="00BF211E">
        <w:rPr>
          <w:b/>
          <w:bCs/>
          <w:color w:val="799A3D"/>
          <w:sz w:val="28"/>
          <w:szCs w:val="28"/>
        </w:rPr>
        <w:t xml:space="preserve">, </w:t>
      </w:r>
      <w:proofErr w:type="gramStart"/>
      <w:r w:rsidRPr="00BF211E">
        <w:rPr>
          <w:b/>
          <w:bCs/>
          <w:color w:val="799A3D"/>
          <w:sz w:val="28"/>
          <w:szCs w:val="28"/>
        </w:rPr>
        <w:t>2025</w:t>
      </w:r>
      <w:proofErr w:type="gramEnd"/>
      <w:r w:rsidRPr="00BF211E">
        <w:rPr>
          <w:b/>
          <w:bCs/>
          <w:color w:val="799A3D"/>
          <w:sz w:val="28"/>
          <w:szCs w:val="28"/>
        </w:rPr>
        <w:t xml:space="preserve"> | 2:00 pm – 3:00</w:t>
      </w:r>
      <w:r>
        <w:rPr>
          <w:b/>
          <w:bCs/>
          <w:color w:val="799A3D"/>
          <w:sz w:val="28"/>
          <w:szCs w:val="28"/>
        </w:rPr>
        <w:t xml:space="preserve"> </w:t>
      </w:r>
      <w:r w:rsidRPr="00BF211E">
        <w:rPr>
          <w:b/>
          <w:bCs/>
          <w:color w:val="799A3D"/>
          <w:sz w:val="28"/>
          <w:szCs w:val="28"/>
        </w:rPr>
        <w:t>pm EST</w:t>
      </w:r>
    </w:p>
    <w:p w14:paraId="5181F15E" w14:textId="77777777" w:rsidR="00D00E54" w:rsidRDefault="00D00E54" w:rsidP="00D00E54">
      <w:pPr>
        <w:pStyle w:val="NoSpacing"/>
        <w:jc w:val="center"/>
        <w:rPr>
          <w:b/>
          <w:bCs/>
          <w:color w:val="4D4F53"/>
        </w:rPr>
      </w:pPr>
      <w:r w:rsidRPr="00D00E54">
        <w:rPr>
          <w:b/>
          <w:bCs/>
          <w:color w:val="4D4F53"/>
        </w:rPr>
        <w:t xml:space="preserve">Economic and Financial Trends for Decision Makers in Not-for-Profit Senior Living </w:t>
      </w:r>
    </w:p>
    <w:p w14:paraId="2EC095FF" w14:textId="34916DCB" w:rsidR="00BF211E" w:rsidRDefault="00D00E54" w:rsidP="00D00E54">
      <w:pPr>
        <w:pStyle w:val="NoSpacing"/>
        <w:jc w:val="center"/>
        <w:rPr>
          <w:b/>
          <w:bCs/>
          <w:i/>
          <w:iCs/>
          <w:color w:val="4D4F53"/>
        </w:rPr>
      </w:pPr>
      <w:r>
        <w:rPr>
          <w:b/>
          <w:bCs/>
          <w:i/>
          <w:iCs/>
          <w:color w:val="4D4F53"/>
        </w:rPr>
        <w:t>Tom Bowden, Senior Vice President, HJ Sims</w:t>
      </w:r>
    </w:p>
    <w:p w14:paraId="5B0EE5B1" w14:textId="77777777" w:rsidR="00D00E54" w:rsidRDefault="00D00E54" w:rsidP="00D00E54">
      <w:pPr>
        <w:pStyle w:val="NoSpacing"/>
        <w:jc w:val="center"/>
        <w:rPr>
          <w:b/>
          <w:bCs/>
          <w:i/>
          <w:iCs/>
          <w:color w:val="4D4F53"/>
        </w:rPr>
      </w:pPr>
    </w:p>
    <w:p w14:paraId="7AAD49F7" w14:textId="77777777" w:rsidR="00D00E54" w:rsidRDefault="00D00E54" w:rsidP="00D00E54">
      <w:pPr>
        <w:pStyle w:val="NoSpacing"/>
        <w:rPr>
          <w:color w:val="4D4F53"/>
          <w:sz w:val="22"/>
          <w:szCs w:val="22"/>
        </w:rPr>
      </w:pPr>
    </w:p>
    <w:p w14:paraId="1EFADF02" w14:textId="7BF4DE73" w:rsidR="00D00E54" w:rsidRPr="00D00E54" w:rsidRDefault="00D00E54" w:rsidP="00D00E54">
      <w:pPr>
        <w:pStyle w:val="NoSpacing"/>
        <w:rPr>
          <w:b/>
          <w:bCs/>
          <w:color w:val="4D4F53"/>
          <w:sz w:val="22"/>
          <w:szCs w:val="22"/>
        </w:rPr>
      </w:pPr>
      <w:r>
        <w:rPr>
          <w:b/>
          <w:bCs/>
          <w:color w:val="4D4F53"/>
          <w:sz w:val="22"/>
          <w:szCs w:val="22"/>
        </w:rPr>
        <w:t>Session Description:</w:t>
      </w:r>
    </w:p>
    <w:p w14:paraId="31CB9C8F" w14:textId="50E592DF" w:rsidR="00D00E54" w:rsidRPr="00D00E54" w:rsidRDefault="00D00E54" w:rsidP="00D00E54">
      <w:pPr>
        <w:pStyle w:val="NoSpacing"/>
        <w:rPr>
          <w:color w:val="4D4F53"/>
          <w:sz w:val="22"/>
          <w:szCs w:val="22"/>
        </w:rPr>
      </w:pPr>
      <w:r w:rsidRPr="00D00E54">
        <w:rPr>
          <w:color w:val="4D4F53"/>
          <w:sz w:val="22"/>
          <w:szCs w:val="22"/>
        </w:rPr>
        <w:t>Strong demand persists but elevated capital costs and other inflationary pressures persist.  Volatility seems to remain the flavor of the times.  And</w:t>
      </w:r>
      <w:r>
        <w:rPr>
          <w:color w:val="4D4F53"/>
          <w:sz w:val="22"/>
          <w:szCs w:val="22"/>
        </w:rPr>
        <w:t xml:space="preserve"> </w:t>
      </w:r>
      <w:r w:rsidRPr="00D00E54">
        <w:rPr>
          <w:color w:val="4D4F53"/>
          <w:sz w:val="22"/>
          <w:szCs w:val="22"/>
        </w:rPr>
        <w:t xml:space="preserve">a newly elected executive and legislative agenda currently has tax-exempt financing in jeopardy. This session will review how our volatile economy has affected </w:t>
      </w:r>
      <w:r>
        <w:rPr>
          <w:color w:val="4D4F53"/>
          <w:sz w:val="22"/>
          <w:szCs w:val="22"/>
        </w:rPr>
        <w:t xml:space="preserve">the </w:t>
      </w:r>
      <w:r w:rsidRPr="00D00E54">
        <w:rPr>
          <w:color w:val="4D4F53"/>
          <w:sz w:val="22"/>
          <w:szCs w:val="22"/>
        </w:rPr>
        <w:t>senior housing</w:t>
      </w:r>
      <w:r>
        <w:rPr>
          <w:color w:val="4D4F53"/>
          <w:sz w:val="22"/>
          <w:szCs w:val="22"/>
        </w:rPr>
        <w:t xml:space="preserve"> field</w:t>
      </w:r>
      <w:r w:rsidRPr="00D00E54">
        <w:rPr>
          <w:color w:val="4D4F53"/>
          <w:sz w:val="22"/>
          <w:szCs w:val="22"/>
        </w:rPr>
        <w:t xml:space="preserve"> and what </w:t>
      </w:r>
      <w:r>
        <w:rPr>
          <w:color w:val="4D4F53"/>
          <w:sz w:val="22"/>
          <w:szCs w:val="22"/>
        </w:rPr>
        <w:t>you and your team</w:t>
      </w:r>
      <w:r w:rsidRPr="00D00E54">
        <w:rPr>
          <w:color w:val="4D4F53"/>
          <w:sz w:val="22"/>
          <w:szCs w:val="22"/>
        </w:rPr>
        <w:t xml:space="preserve"> will be navigating financially moving forward.  </w:t>
      </w:r>
    </w:p>
    <w:p w14:paraId="6B41E181" w14:textId="77777777" w:rsidR="00D00E54" w:rsidRPr="00D00E54" w:rsidRDefault="00D00E54" w:rsidP="00D00E54">
      <w:pPr>
        <w:pStyle w:val="NoSpacing"/>
        <w:rPr>
          <w:color w:val="4D4F53"/>
          <w:sz w:val="22"/>
          <w:szCs w:val="22"/>
        </w:rPr>
      </w:pPr>
    </w:p>
    <w:p w14:paraId="5974FD9C" w14:textId="0EC7C574" w:rsidR="00D00E54" w:rsidRPr="00D00E54" w:rsidRDefault="00D00E54" w:rsidP="00D00E54">
      <w:pPr>
        <w:pStyle w:val="NoSpacing"/>
        <w:rPr>
          <w:b/>
          <w:bCs/>
          <w:color w:val="4D4F53"/>
          <w:sz w:val="22"/>
          <w:szCs w:val="22"/>
        </w:rPr>
      </w:pPr>
      <w:r>
        <w:rPr>
          <w:b/>
          <w:bCs/>
          <w:color w:val="4D4F53"/>
          <w:sz w:val="22"/>
          <w:szCs w:val="22"/>
        </w:rPr>
        <w:t>Following this session, you will be able to:</w:t>
      </w:r>
    </w:p>
    <w:p w14:paraId="78322B4D" w14:textId="078AFDD7" w:rsidR="00D00E54" w:rsidRPr="00D00E54" w:rsidRDefault="00D00E54" w:rsidP="00D00E54">
      <w:pPr>
        <w:pStyle w:val="NoSpacing"/>
        <w:numPr>
          <w:ilvl w:val="0"/>
          <w:numId w:val="5"/>
        </w:numPr>
        <w:rPr>
          <w:color w:val="4D4F53"/>
          <w:sz w:val="22"/>
          <w:szCs w:val="22"/>
        </w:rPr>
      </w:pPr>
      <w:r w:rsidRPr="00D00E54">
        <w:rPr>
          <w:color w:val="4D4F53"/>
          <w:sz w:val="22"/>
          <w:szCs w:val="22"/>
        </w:rPr>
        <w:t>Understand the impact on senior housing from an economic and financial perspective</w:t>
      </w:r>
    </w:p>
    <w:p w14:paraId="13C22A83" w14:textId="4C0DA884" w:rsidR="00D00E54" w:rsidRPr="00D00E54" w:rsidRDefault="00D00E54" w:rsidP="00D00E54">
      <w:pPr>
        <w:pStyle w:val="NoSpacing"/>
        <w:numPr>
          <w:ilvl w:val="0"/>
          <w:numId w:val="5"/>
        </w:numPr>
        <w:rPr>
          <w:color w:val="4D4F53"/>
          <w:sz w:val="22"/>
          <w:szCs w:val="22"/>
        </w:rPr>
      </w:pPr>
      <w:r w:rsidRPr="00D00E54">
        <w:rPr>
          <w:color w:val="4D4F53"/>
          <w:sz w:val="22"/>
          <w:szCs w:val="22"/>
        </w:rPr>
        <w:t>Discuss the possibility of municipal bonds and/or Private Activity Bonds being curtailed or</w:t>
      </w:r>
      <w:r>
        <w:rPr>
          <w:color w:val="4D4F53"/>
          <w:sz w:val="22"/>
          <w:szCs w:val="22"/>
        </w:rPr>
        <w:t xml:space="preserve"> </w:t>
      </w:r>
      <w:r w:rsidRPr="00D00E54">
        <w:rPr>
          <w:color w:val="4D4F53"/>
          <w:sz w:val="22"/>
          <w:szCs w:val="22"/>
        </w:rPr>
        <w:t>eliminated, and what strategies may exist if that were to happen</w:t>
      </w:r>
    </w:p>
    <w:p w14:paraId="1AE599FE" w14:textId="2FDD6091" w:rsidR="00D00E54" w:rsidRPr="00D00E54" w:rsidRDefault="00D00E54" w:rsidP="00D00E54">
      <w:pPr>
        <w:pStyle w:val="NoSpacing"/>
        <w:numPr>
          <w:ilvl w:val="0"/>
          <w:numId w:val="5"/>
        </w:numPr>
        <w:rPr>
          <w:color w:val="4D4F53"/>
          <w:sz w:val="22"/>
          <w:szCs w:val="22"/>
        </w:rPr>
      </w:pPr>
      <w:r w:rsidRPr="00D00E54">
        <w:rPr>
          <w:color w:val="4D4F53"/>
          <w:sz w:val="22"/>
          <w:szCs w:val="22"/>
        </w:rPr>
        <w:t>Explore alternative financing tools available</w:t>
      </w:r>
    </w:p>
    <w:p w14:paraId="2A9675EA" w14:textId="2322C276" w:rsidR="00D00E54" w:rsidRDefault="00D00E54" w:rsidP="00D00E54">
      <w:pPr>
        <w:pStyle w:val="NoSpacing"/>
        <w:numPr>
          <w:ilvl w:val="0"/>
          <w:numId w:val="5"/>
        </w:numPr>
        <w:rPr>
          <w:color w:val="4D4F53"/>
          <w:sz w:val="22"/>
          <w:szCs w:val="22"/>
        </w:rPr>
      </w:pPr>
      <w:r w:rsidRPr="00D00E54">
        <w:rPr>
          <w:color w:val="4D4F53"/>
          <w:sz w:val="22"/>
          <w:szCs w:val="22"/>
        </w:rPr>
        <w:t>Discuss the decisions that will need to be made, and the various methods to be</w:t>
      </w:r>
      <w:r>
        <w:rPr>
          <w:color w:val="4D4F53"/>
          <w:sz w:val="22"/>
          <w:szCs w:val="22"/>
        </w:rPr>
        <w:t xml:space="preserve"> </w:t>
      </w:r>
      <w:r w:rsidRPr="00D00E54">
        <w:rPr>
          <w:color w:val="4D4F53"/>
          <w:sz w:val="22"/>
          <w:szCs w:val="22"/>
        </w:rPr>
        <w:t>incorporated by organizations and communities to sustain viability and growth</w:t>
      </w:r>
    </w:p>
    <w:p w14:paraId="2D89BA50" w14:textId="77777777" w:rsidR="00D00E54" w:rsidRDefault="00D00E54" w:rsidP="00D00E54">
      <w:pPr>
        <w:pStyle w:val="NoSpacing"/>
        <w:rPr>
          <w:color w:val="4D4F53"/>
          <w:sz w:val="22"/>
          <w:szCs w:val="22"/>
        </w:rPr>
      </w:pPr>
    </w:p>
    <w:p w14:paraId="50B0F658" w14:textId="77777777" w:rsidR="004F3B44" w:rsidRPr="004F3B44" w:rsidRDefault="004F3B44" w:rsidP="004F3B44">
      <w:pPr>
        <w:spacing w:after="0" w:line="240" w:lineRule="auto"/>
        <w:rPr>
          <w:b/>
          <w:bCs/>
          <w:color w:val="799A3D"/>
          <w:sz w:val="22"/>
          <w:szCs w:val="22"/>
        </w:rPr>
      </w:pPr>
      <w:r w:rsidRPr="004F3B44">
        <w:rPr>
          <w:b/>
          <w:bCs/>
          <w:color w:val="799A3D"/>
          <w:sz w:val="22"/>
          <w:szCs w:val="22"/>
        </w:rPr>
        <w:t>This program has been approved for Continuing Education for 1 participant hour of the four total available in the series by NAB/NCERS—Approval #</w:t>
      </w:r>
      <w:r w:rsidRPr="004F3B44">
        <w:rPr>
          <w:b/>
          <w:bCs/>
          <w:sz w:val="22"/>
          <w:szCs w:val="22"/>
        </w:rPr>
        <w:t xml:space="preserve"> </w:t>
      </w:r>
      <w:r w:rsidRPr="004F3B44">
        <w:rPr>
          <w:b/>
          <w:bCs/>
          <w:color w:val="799A3D"/>
          <w:sz w:val="22"/>
          <w:szCs w:val="22"/>
        </w:rPr>
        <w:t xml:space="preserve">20260225-4-A109640-DL.  </w:t>
      </w:r>
    </w:p>
    <w:p w14:paraId="38BD4947" w14:textId="77777777" w:rsidR="004F3B44" w:rsidRDefault="004F3B44" w:rsidP="00D00E54">
      <w:pPr>
        <w:pStyle w:val="NoSpacing"/>
        <w:rPr>
          <w:color w:val="4D4F53"/>
          <w:sz w:val="22"/>
          <w:szCs w:val="22"/>
        </w:rPr>
      </w:pPr>
    </w:p>
    <w:p w14:paraId="54FBBF4B" w14:textId="77777777" w:rsidR="00D00E54" w:rsidRDefault="00D00E54" w:rsidP="00D00E54">
      <w:pPr>
        <w:pStyle w:val="NoSpacing"/>
        <w:rPr>
          <w:color w:val="4D4F53"/>
          <w:sz w:val="22"/>
          <w:szCs w:val="22"/>
        </w:rPr>
      </w:pPr>
    </w:p>
    <w:p w14:paraId="1CB591DD" w14:textId="77777777" w:rsidR="00D00E54" w:rsidRDefault="00D00E54" w:rsidP="00D00E54">
      <w:pPr>
        <w:pStyle w:val="NoSpacing"/>
        <w:rPr>
          <w:color w:val="4D4F53"/>
          <w:sz w:val="22"/>
          <w:szCs w:val="22"/>
        </w:rPr>
      </w:pPr>
    </w:p>
    <w:p w14:paraId="121F7A96" w14:textId="77777777" w:rsidR="00D00E54" w:rsidRDefault="00D00E54" w:rsidP="00D00E54">
      <w:pPr>
        <w:pStyle w:val="NoSpacing"/>
        <w:rPr>
          <w:color w:val="4D4F53"/>
          <w:sz w:val="22"/>
          <w:szCs w:val="22"/>
        </w:rPr>
      </w:pPr>
    </w:p>
    <w:p w14:paraId="2E8F91D6" w14:textId="77777777" w:rsidR="00D00E54" w:rsidRDefault="00D00E54" w:rsidP="00D00E54">
      <w:pPr>
        <w:pStyle w:val="NoSpacing"/>
        <w:rPr>
          <w:color w:val="4D4F53"/>
          <w:sz w:val="22"/>
          <w:szCs w:val="22"/>
        </w:rPr>
      </w:pPr>
    </w:p>
    <w:p w14:paraId="5CC6CFB8" w14:textId="77777777" w:rsidR="00D00E54" w:rsidRDefault="00D00E54" w:rsidP="00D00E54">
      <w:pPr>
        <w:pStyle w:val="NoSpacing"/>
        <w:rPr>
          <w:color w:val="4D4F53"/>
          <w:sz w:val="22"/>
          <w:szCs w:val="22"/>
        </w:rPr>
      </w:pPr>
    </w:p>
    <w:p w14:paraId="0B64B03F" w14:textId="77777777" w:rsidR="00D00E54" w:rsidRDefault="00D00E54" w:rsidP="00D00E54">
      <w:pPr>
        <w:pStyle w:val="NoSpacing"/>
        <w:rPr>
          <w:color w:val="4D4F53"/>
          <w:sz w:val="22"/>
          <w:szCs w:val="22"/>
        </w:rPr>
      </w:pPr>
    </w:p>
    <w:p w14:paraId="53DDC10F" w14:textId="77777777" w:rsidR="00D00E54" w:rsidRDefault="00D00E54" w:rsidP="00D00E54">
      <w:pPr>
        <w:pStyle w:val="NoSpacing"/>
        <w:rPr>
          <w:color w:val="4D4F53"/>
          <w:sz w:val="22"/>
          <w:szCs w:val="22"/>
        </w:rPr>
      </w:pPr>
    </w:p>
    <w:p w14:paraId="3ED1F050" w14:textId="77777777" w:rsidR="00D00E54" w:rsidRDefault="00D00E54" w:rsidP="00D00E54">
      <w:pPr>
        <w:pStyle w:val="NoSpacing"/>
        <w:rPr>
          <w:color w:val="4D4F53"/>
          <w:sz w:val="22"/>
          <w:szCs w:val="22"/>
        </w:rPr>
      </w:pPr>
    </w:p>
    <w:p w14:paraId="76811E13" w14:textId="77777777" w:rsidR="00D00E54" w:rsidRDefault="00D00E54" w:rsidP="00D00E54">
      <w:pPr>
        <w:pStyle w:val="NoSpacing"/>
        <w:rPr>
          <w:color w:val="4D4F53"/>
          <w:sz w:val="22"/>
          <w:szCs w:val="22"/>
        </w:rPr>
      </w:pPr>
    </w:p>
    <w:p w14:paraId="06D4EB7F" w14:textId="77777777" w:rsidR="00D00E54" w:rsidRDefault="00D00E54" w:rsidP="00D00E54">
      <w:pPr>
        <w:pStyle w:val="NoSpacing"/>
        <w:rPr>
          <w:color w:val="4D4F53"/>
          <w:sz w:val="22"/>
          <w:szCs w:val="22"/>
        </w:rPr>
      </w:pPr>
    </w:p>
    <w:p w14:paraId="6000AD4E" w14:textId="06EBA6EE" w:rsidR="00D00E54" w:rsidRPr="00BF211E" w:rsidRDefault="00D00E54" w:rsidP="00D00E54">
      <w:pPr>
        <w:jc w:val="center"/>
        <w:rPr>
          <w:b/>
          <w:bCs/>
          <w:color w:val="799A3D"/>
          <w:sz w:val="28"/>
          <w:szCs w:val="28"/>
        </w:rPr>
      </w:pPr>
      <w:r>
        <w:rPr>
          <w:b/>
          <w:bCs/>
          <w:color w:val="799A3D"/>
          <w:sz w:val="28"/>
          <w:szCs w:val="28"/>
        </w:rPr>
        <w:t>Tuesday</w:t>
      </w:r>
      <w:r w:rsidRPr="00BF211E">
        <w:rPr>
          <w:b/>
          <w:bCs/>
          <w:color w:val="799A3D"/>
          <w:sz w:val="28"/>
          <w:szCs w:val="28"/>
        </w:rPr>
        <w:t xml:space="preserve">, </w:t>
      </w:r>
      <w:r>
        <w:rPr>
          <w:b/>
          <w:bCs/>
          <w:color w:val="799A3D"/>
          <w:sz w:val="28"/>
          <w:szCs w:val="28"/>
        </w:rPr>
        <w:t>March</w:t>
      </w:r>
      <w:r w:rsidRPr="00BF211E">
        <w:rPr>
          <w:b/>
          <w:bCs/>
          <w:color w:val="799A3D"/>
          <w:sz w:val="28"/>
          <w:szCs w:val="28"/>
        </w:rPr>
        <w:t xml:space="preserve"> </w:t>
      </w:r>
      <w:r>
        <w:rPr>
          <w:b/>
          <w:bCs/>
          <w:color w:val="799A3D"/>
          <w:sz w:val="28"/>
          <w:szCs w:val="28"/>
        </w:rPr>
        <w:t>18</w:t>
      </w:r>
      <w:r w:rsidRPr="00BF211E">
        <w:rPr>
          <w:b/>
          <w:bCs/>
          <w:color w:val="799A3D"/>
          <w:sz w:val="28"/>
          <w:szCs w:val="28"/>
        </w:rPr>
        <w:t xml:space="preserve">, </w:t>
      </w:r>
      <w:proofErr w:type="gramStart"/>
      <w:r w:rsidRPr="00BF211E">
        <w:rPr>
          <w:b/>
          <w:bCs/>
          <w:color w:val="799A3D"/>
          <w:sz w:val="28"/>
          <w:szCs w:val="28"/>
        </w:rPr>
        <w:t>2025</w:t>
      </w:r>
      <w:proofErr w:type="gramEnd"/>
      <w:r w:rsidRPr="00BF211E">
        <w:rPr>
          <w:b/>
          <w:bCs/>
          <w:color w:val="799A3D"/>
          <w:sz w:val="28"/>
          <w:szCs w:val="28"/>
        </w:rPr>
        <w:t xml:space="preserve"> | 2:00 pm – 3:00</w:t>
      </w:r>
      <w:r>
        <w:rPr>
          <w:b/>
          <w:bCs/>
          <w:color w:val="799A3D"/>
          <w:sz w:val="28"/>
          <w:szCs w:val="28"/>
        </w:rPr>
        <w:t xml:space="preserve"> </w:t>
      </w:r>
      <w:r w:rsidRPr="00BF211E">
        <w:rPr>
          <w:b/>
          <w:bCs/>
          <w:color w:val="799A3D"/>
          <w:sz w:val="28"/>
          <w:szCs w:val="28"/>
        </w:rPr>
        <w:t>pm EST</w:t>
      </w:r>
    </w:p>
    <w:p w14:paraId="4ECAEDA7" w14:textId="77777777" w:rsidR="00D00E54" w:rsidRDefault="00D00E54" w:rsidP="00D00E54">
      <w:pPr>
        <w:pStyle w:val="NoSpacing"/>
        <w:jc w:val="center"/>
        <w:rPr>
          <w:b/>
          <w:bCs/>
          <w:color w:val="4D4F53"/>
        </w:rPr>
      </w:pPr>
      <w:r w:rsidRPr="00D00E54">
        <w:rPr>
          <w:b/>
          <w:bCs/>
          <w:color w:val="4D4F53"/>
        </w:rPr>
        <w:t>Executive Compensation Strategy and Governance: Best Practices and Compliance</w:t>
      </w:r>
    </w:p>
    <w:p w14:paraId="0AEB64D3" w14:textId="6DBB76ED" w:rsidR="00D00E54" w:rsidRDefault="00D00E54" w:rsidP="00D00E54">
      <w:pPr>
        <w:pStyle w:val="NoSpacing"/>
        <w:jc w:val="center"/>
        <w:rPr>
          <w:b/>
          <w:bCs/>
          <w:i/>
          <w:iCs/>
          <w:color w:val="4D4F53"/>
        </w:rPr>
      </w:pPr>
      <w:r>
        <w:rPr>
          <w:b/>
          <w:bCs/>
          <w:i/>
          <w:iCs/>
          <w:color w:val="4D4F53"/>
        </w:rPr>
        <w:t>Ron Reynolds, Managing Director, Executive &amp; Salesforce Compensation, Gallagher</w:t>
      </w:r>
    </w:p>
    <w:p w14:paraId="45EBE92C" w14:textId="77777777" w:rsidR="00D00E54" w:rsidRDefault="00D00E54" w:rsidP="00D00E54">
      <w:pPr>
        <w:pStyle w:val="NoSpacing"/>
        <w:jc w:val="center"/>
        <w:rPr>
          <w:b/>
          <w:bCs/>
          <w:i/>
          <w:iCs/>
          <w:color w:val="4D4F53"/>
        </w:rPr>
      </w:pPr>
    </w:p>
    <w:p w14:paraId="3D75007D" w14:textId="77777777" w:rsidR="00D00E54" w:rsidRDefault="00D00E54" w:rsidP="00D00E54">
      <w:pPr>
        <w:pStyle w:val="NoSpacing"/>
        <w:jc w:val="center"/>
        <w:rPr>
          <w:b/>
          <w:bCs/>
          <w:i/>
          <w:iCs/>
          <w:color w:val="4D4F53"/>
        </w:rPr>
      </w:pPr>
    </w:p>
    <w:p w14:paraId="52E92907" w14:textId="55857504" w:rsidR="00D00E54" w:rsidRPr="001F0B47" w:rsidRDefault="00D00E54" w:rsidP="00D00E54">
      <w:pPr>
        <w:pStyle w:val="NoSpacing"/>
        <w:rPr>
          <w:b/>
          <w:bCs/>
          <w:color w:val="4D4F53"/>
          <w:sz w:val="22"/>
          <w:szCs w:val="22"/>
        </w:rPr>
      </w:pPr>
      <w:r w:rsidRPr="001F0B47">
        <w:rPr>
          <w:b/>
          <w:bCs/>
          <w:color w:val="4D4F53"/>
          <w:sz w:val="22"/>
          <w:szCs w:val="22"/>
        </w:rPr>
        <w:t>Session Description:</w:t>
      </w:r>
    </w:p>
    <w:p w14:paraId="13A9A30D" w14:textId="3079FCEF" w:rsidR="00D00E54" w:rsidRPr="001F0B47" w:rsidRDefault="00D00E54" w:rsidP="00D00E54">
      <w:pPr>
        <w:pStyle w:val="NoSpacing"/>
        <w:rPr>
          <w:color w:val="4D4F53"/>
          <w:sz w:val="22"/>
          <w:szCs w:val="22"/>
        </w:rPr>
      </w:pPr>
      <w:r w:rsidRPr="001F0B47">
        <w:rPr>
          <w:color w:val="4D4F53"/>
          <w:sz w:val="22"/>
          <w:szCs w:val="22"/>
        </w:rPr>
        <w:t>Join us for a comprehensive overview of current trends in executive compensation for aging service providers, with a focus on competitive practices, regulatory compliance, and strategic governance. You will gain valuable insights into the executive compensation landscape across the aging services field, empowering you to design, oversee, and evaluate executive pay packages from the board's perspective. You will also receive practical guidance on ensuring executive compensation is reasonable, well-documented, and aligned with both comparative industry practices and the organization’s broader compensation strategy or policy.</w:t>
      </w:r>
    </w:p>
    <w:p w14:paraId="6DE0F82C" w14:textId="77777777" w:rsidR="00D00E54" w:rsidRPr="001F0B47" w:rsidRDefault="00D00E54" w:rsidP="00D00E54">
      <w:pPr>
        <w:pStyle w:val="NoSpacing"/>
        <w:rPr>
          <w:color w:val="4D4F53"/>
          <w:sz w:val="22"/>
          <w:szCs w:val="22"/>
        </w:rPr>
      </w:pPr>
    </w:p>
    <w:p w14:paraId="6A9D90A4" w14:textId="77777777" w:rsidR="00D00E54" w:rsidRPr="001F0B47" w:rsidRDefault="00D00E54" w:rsidP="00D00E54">
      <w:pPr>
        <w:pStyle w:val="NoSpacing"/>
        <w:rPr>
          <w:color w:val="4D4F53"/>
          <w:sz w:val="22"/>
          <w:szCs w:val="22"/>
        </w:rPr>
      </w:pPr>
      <w:r w:rsidRPr="001F0B47">
        <w:rPr>
          <w:color w:val="4D4F53"/>
          <w:sz w:val="22"/>
          <w:szCs w:val="22"/>
        </w:rPr>
        <w:t>By taking part, you will be equipped with a clear understanding of best practices for maintaining a competitive, compliant, and well-governed executive compensation program that supports long-term organizational success.</w:t>
      </w:r>
    </w:p>
    <w:p w14:paraId="6719C8B3" w14:textId="77777777" w:rsidR="00D00E54" w:rsidRPr="001F0B47" w:rsidRDefault="00D00E54" w:rsidP="00D00E54">
      <w:pPr>
        <w:pStyle w:val="NoSpacing"/>
        <w:rPr>
          <w:color w:val="4D4F53"/>
          <w:sz w:val="22"/>
          <w:szCs w:val="22"/>
        </w:rPr>
      </w:pPr>
    </w:p>
    <w:p w14:paraId="2CBB53FD" w14:textId="7D96DB33" w:rsidR="00D00E54" w:rsidRPr="001F0B47" w:rsidRDefault="00D00E54" w:rsidP="00D00E54">
      <w:pPr>
        <w:pStyle w:val="NoSpacing"/>
        <w:rPr>
          <w:b/>
          <w:bCs/>
          <w:color w:val="4D4F53"/>
          <w:sz w:val="22"/>
          <w:szCs w:val="22"/>
        </w:rPr>
      </w:pPr>
      <w:r w:rsidRPr="001F0B47">
        <w:rPr>
          <w:b/>
          <w:bCs/>
          <w:color w:val="4D4F53"/>
          <w:sz w:val="22"/>
          <w:szCs w:val="22"/>
        </w:rPr>
        <w:t>Following this session, you will be able to:</w:t>
      </w:r>
    </w:p>
    <w:p w14:paraId="7D1D59A9" w14:textId="77777777" w:rsidR="00D00E54" w:rsidRPr="001F0B47" w:rsidRDefault="00D00E54" w:rsidP="00D00E54">
      <w:pPr>
        <w:pStyle w:val="NoSpacing"/>
        <w:numPr>
          <w:ilvl w:val="0"/>
          <w:numId w:val="6"/>
        </w:numPr>
        <w:rPr>
          <w:color w:val="4D4F53"/>
          <w:sz w:val="22"/>
          <w:szCs w:val="22"/>
        </w:rPr>
      </w:pPr>
      <w:r w:rsidRPr="001F0B47">
        <w:rPr>
          <w:color w:val="4D4F53"/>
          <w:sz w:val="22"/>
          <w:szCs w:val="22"/>
        </w:rPr>
        <w:t>Understand current executive total compensation trends</w:t>
      </w:r>
    </w:p>
    <w:p w14:paraId="6A05A12D" w14:textId="77777777" w:rsidR="00D00E54" w:rsidRPr="001F0B47" w:rsidRDefault="00D00E54" w:rsidP="00D00E54">
      <w:pPr>
        <w:pStyle w:val="NoSpacing"/>
        <w:numPr>
          <w:ilvl w:val="0"/>
          <w:numId w:val="6"/>
        </w:numPr>
        <w:rPr>
          <w:color w:val="4D4F53"/>
          <w:sz w:val="22"/>
          <w:szCs w:val="22"/>
        </w:rPr>
      </w:pPr>
      <w:r w:rsidRPr="001F0B47">
        <w:rPr>
          <w:color w:val="4D4F53"/>
          <w:sz w:val="22"/>
          <w:szCs w:val="22"/>
        </w:rPr>
        <w:t>Implement board governance best practices around executive compensation</w:t>
      </w:r>
    </w:p>
    <w:p w14:paraId="7505340E" w14:textId="77777777" w:rsidR="00D00E54" w:rsidRPr="001F0B47" w:rsidRDefault="00D00E54" w:rsidP="00D00E54">
      <w:pPr>
        <w:pStyle w:val="NoSpacing"/>
        <w:numPr>
          <w:ilvl w:val="0"/>
          <w:numId w:val="6"/>
        </w:numPr>
        <w:rPr>
          <w:color w:val="4D4F53"/>
          <w:sz w:val="22"/>
          <w:szCs w:val="22"/>
        </w:rPr>
      </w:pPr>
      <w:r w:rsidRPr="001F0B47">
        <w:rPr>
          <w:color w:val="4D4F53"/>
          <w:sz w:val="22"/>
          <w:szCs w:val="22"/>
        </w:rPr>
        <w:t>Navigate the Intermediate Sanctions Rules (IRC 4958)</w:t>
      </w:r>
    </w:p>
    <w:p w14:paraId="63AAEED3" w14:textId="77777777" w:rsidR="00D00E54" w:rsidRPr="001F0B47" w:rsidRDefault="00D00E54" w:rsidP="00D00E54">
      <w:pPr>
        <w:pStyle w:val="NoSpacing"/>
        <w:numPr>
          <w:ilvl w:val="0"/>
          <w:numId w:val="6"/>
        </w:numPr>
        <w:rPr>
          <w:color w:val="4D4F53"/>
          <w:sz w:val="22"/>
          <w:szCs w:val="22"/>
        </w:rPr>
      </w:pPr>
      <w:r w:rsidRPr="001F0B47">
        <w:rPr>
          <w:color w:val="4D4F53"/>
          <w:sz w:val="22"/>
          <w:szCs w:val="22"/>
        </w:rPr>
        <w:t>Design and administer 457 Plan designs and benefits</w:t>
      </w:r>
    </w:p>
    <w:p w14:paraId="12EB38F5" w14:textId="271AA7BB" w:rsidR="00D00E54" w:rsidRPr="001F0B47" w:rsidRDefault="00D00E54" w:rsidP="00D00E54">
      <w:pPr>
        <w:pStyle w:val="NoSpacing"/>
        <w:rPr>
          <w:color w:val="4D4F53"/>
          <w:sz w:val="22"/>
          <w:szCs w:val="22"/>
        </w:rPr>
      </w:pPr>
    </w:p>
    <w:p w14:paraId="3E0708E1" w14:textId="77777777" w:rsidR="00C01FE7" w:rsidRPr="004F3B44" w:rsidRDefault="00C01FE7" w:rsidP="00C01FE7">
      <w:pPr>
        <w:spacing w:after="0" w:line="240" w:lineRule="auto"/>
        <w:rPr>
          <w:b/>
          <w:bCs/>
          <w:color w:val="799A3D"/>
          <w:sz w:val="22"/>
          <w:szCs w:val="22"/>
        </w:rPr>
      </w:pPr>
      <w:r w:rsidRPr="004F3B44">
        <w:rPr>
          <w:b/>
          <w:bCs/>
          <w:color w:val="799A3D"/>
          <w:sz w:val="22"/>
          <w:szCs w:val="22"/>
        </w:rPr>
        <w:t>This program has been approved for Continuing Education for 1 participant hour of the four total available in the series by NAB/NCERS—Approval #</w:t>
      </w:r>
      <w:r w:rsidRPr="004F3B44">
        <w:rPr>
          <w:b/>
          <w:bCs/>
          <w:sz w:val="22"/>
          <w:szCs w:val="22"/>
        </w:rPr>
        <w:t xml:space="preserve"> </w:t>
      </w:r>
      <w:r w:rsidRPr="004F3B44">
        <w:rPr>
          <w:b/>
          <w:bCs/>
          <w:color w:val="799A3D"/>
          <w:sz w:val="22"/>
          <w:szCs w:val="22"/>
        </w:rPr>
        <w:t xml:space="preserve">20260225-4-A109640-DL.  </w:t>
      </w:r>
    </w:p>
    <w:p w14:paraId="0E2475B4" w14:textId="77777777" w:rsidR="00D00E54" w:rsidRPr="00D00E54" w:rsidRDefault="00D00E54" w:rsidP="00D00E54">
      <w:pPr>
        <w:pStyle w:val="NoSpacing"/>
        <w:rPr>
          <w:color w:val="4D4F53"/>
          <w:sz w:val="22"/>
          <w:szCs w:val="22"/>
        </w:rPr>
      </w:pPr>
    </w:p>
    <w:sectPr w:rsidR="00D00E54" w:rsidRPr="00D00E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D40C6" w14:textId="77777777" w:rsidR="00C90986" w:rsidRDefault="00C90986" w:rsidP="00394706">
      <w:pPr>
        <w:spacing w:after="0" w:line="240" w:lineRule="auto"/>
      </w:pPr>
      <w:r>
        <w:separator/>
      </w:r>
    </w:p>
  </w:endnote>
  <w:endnote w:type="continuationSeparator" w:id="0">
    <w:p w14:paraId="16E1DDD7" w14:textId="77777777" w:rsidR="00C90986" w:rsidRDefault="00C90986" w:rsidP="00394706">
      <w:pPr>
        <w:spacing w:after="0" w:line="240" w:lineRule="auto"/>
      </w:pPr>
      <w:r>
        <w:continuationSeparator/>
      </w:r>
    </w:p>
  </w:endnote>
  <w:endnote w:type="continuationNotice" w:id="1">
    <w:p w14:paraId="3F6E8E75" w14:textId="77777777" w:rsidR="00C90986" w:rsidRDefault="00C90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60758" w14:textId="77777777" w:rsidR="00C90986" w:rsidRDefault="00C90986" w:rsidP="00394706">
      <w:pPr>
        <w:spacing w:after="0" w:line="240" w:lineRule="auto"/>
      </w:pPr>
      <w:r>
        <w:separator/>
      </w:r>
    </w:p>
  </w:footnote>
  <w:footnote w:type="continuationSeparator" w:id="0">
    <w:p w14:paraId="1C00767E" w14:textId="77777777" w:rsidR="00C90986" w:rsidRDefault="00C90986" w:rsidP="00394706">
      <w:pPr>
        <w:spacing w:after="0" w:line="240" w:lineRule="auto"/>
      </w:pPr>
      <w:r>
        <w:continuationSeparator/>
      </w:r>
    </w:p>
  </w:footnote>
  <w:footnote w:type="continuationNotice" w:id="1">
    <w:p w14:paraId="06166E2C" w14:textId="77777777" w:rsidR="00C90986" w:rsidRDefault="00C90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133B" w14:textId="403B6D59" w:rsidR="00394706" w:rsidRDefault="00156CA8">
    <w:pPr>
      <w:pStyle w:val="Header"/>
    </w:pPr>
    <w:r>
      <w:rPr>
        <w:noProof/>
      </w:rPr>
      <w:drawing>
        <wp:inline distT="0" distB="0" distL="0" distR="0" wp14:anchorId="42DEC460" wp14:editId="0900B3DD">
          <wp:extent cx="5943600" cy="2080260"/>
          <wp:effectExtent l="0" t="0" r="0" b="0"/>
          <wp:docPr id="1334329377" name="Picture 1" descr="A close-up of a webin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29377" name="Picture 1" descr="A close-up of a webin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2080260"/>
                  </a:xfrm>
                  <a:prstGeom prst="rect">
                    <a:avLst/>
                  </a:prstGeom>
                </pic:spPr>
              </pic:pic>
            </a:graphicData>
          </a:graphic>
        </wp:inline>
      </w:drawing>
    </w:r>
  </w:p>
  <w:p w14:paraId="73C6CAB8" w14:textId="77777777" w:rsidR="00394706" w:rsidRDefault="00394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B4A"/>
    <w:multiLevelType w:val="hybridMultilevel"/>
    <w:tmpl w:val="1F9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E519EB"/>
    <w:multiLevelType w:val="hybridMultilevel"/>
    <w:tmpl w:val="F23E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A0378"/>
    <w:multiLevelType w:val="hybridMultilevel"/>
    <w:tmpl w:val="8B6AC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8D1E0B"/>
    <w:multiLevelType w:val="hybridMultilevel"/>
    <w:tmpl w:val="6574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B7D10"/>
    <w:multiLevelType w:val="hybridMultilevel"/>
    <w:tmpl w:val="295C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B6BD3"/>
    <w:multiLevelType w:val="hybridMultilevel"/>
    <w:tmpl w:val="AB54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23348">
    <w:abstractNumId w:val="0"/>
  </w:num>
  <w:num w:numId="2" w16cid:durableId="278689404">
    <w:abstractNumId w:val="0"/>
  </w:num>
  <w:num w:numId="3" w16cid:durableId="2013753980">
    <w:abstractNumId w:val="5"/>
  </w:num>
  <w:num w:numId="4" w16cid:durableId="1664821125">
    <w:abstractNumId w:val="4"/>
  </w:num>
  <w:num w:numId="5" w16cid:durableId="908224854">
    <w:abstractNumId w:val="3"/>
  </w:num>
  <w:num w:numId="6" w16cid:durableId="47849472">
    <w:abstractNumId w:val="2"/>
  </w:num>
  <w:num w:numId="7" w16cid:durableId="134467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06"/>
    <w:rsid w:val="000A780C"/>
    <w:rsid w:val="00101FFA"/>
    <w:rsid w:val="0010509F"/>
    <w:rsid w:val="00117CC4"/>
    <w:rsid w:val="00156CA8"/>
    <w:rsid w:val="001F0B47"/>
    <w:rsid w:val="00250B5A"/>
    <w:rsid w:val="0027563A"/>
    <w:rsid w:val="002920B5"/>
    <w:rsid w:val="0033092A"/>
    <w:rsid w:val="00394706"/>
    <w:rsid w:val="003C01D9"/>
    <w:rsid w:val="003C7D0B"/>
    <w:rsid w:val="003F50A5"/>
    <w:rsid w:val="004579D1"/>
    <w:rsid w:val="0047415D"/>
    <w:rsid w:val="004B2652"/>
    <w:rsid w:val="004D4EB9"/>
    <w:rsid w:val="004E54A9"/>
    <w:rsid w:val="004F2BFC"/>
    <w:rsid w:val="004F3B44"/>
    <w:rsid w:val="00533380"/>
    <w:rsid w:val="006070DB"/>
    <w:rsid w:val="006D5FAA"/>
    <w:rsid w:val="0083340C"/>
    <w:rsid w:val="00843FE9"/>
    <w:rsid w:val="00931426"/>
    <w:rsid w:val="0093713C"/>
    <w:rsid w:val="00A9146B"/>
    <w:rsid w:val="00AB74CC"/>
    <w:rsid w:val="00B52330"/>
    <w:rsid w:val="00B70728"/>
    <w:rsid w:val="00BF211E"/>
    <w:rsid w:val="00C01FE7"/>
    <w:rsid w:val="00C324E3"/>
    <w:rsid w:val="00C82F4F"/>
    <w:rsid w:val="00C90986"/>
    <w:rsid w:val="00CC2E71"/>
    <w:rsid w:val="00CF2D2F"/>
    <w:rsid w:val="00D00E54"/>
    <w:rsid w:val="00D27640"/>
    <w:rsid w:val="00D64A4B"/>
    <w:rsid w:val="00DA05B4"/>
    <w:rsid w:val="00DC218D"/>
    <w:rsid w:val="00DD4F85"/>
    <w:rsid w:val="00DF4E25"/>
    <w:rsid w:val="00E73CC2"/>
    <w:rsid w:val="00E76BA5"/>
    <w:rsid w:val="00EC6B64"/>
    <w:rsid w:val="00FD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EC55"/>
  <w15:chartTrackingRefBased/>
  <w15:docId w15:val="{618D1788-4B09-4260-9CB9-C48F83F1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706"/>
    <w:rPr>
      <w:rFonts w:eastAsiaTheme="majorEastAsia" w:cstheme="majorBidi"/>
      <w:color w:val="272727" w:themeColor="text1" w:themeTint="D8"/>
    </w:rPr>
  </w:style>
  <w:style w:type="paragraph" w:styleId="Title">
    <w:name w:val="Title"/>
    <w:basedOn w:val="Normal"/>
    <w:next w:val="Normal"/>
    <w:link w:val="TitleChar"/>
    <w:uiPriority w:val="10"/>
    <w:qFormat/>
    <w:rsid w:val="00394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706"/>
    <w:pPr>
      <w:spacing w:before="160"/>
      <w:jc w:val="center"/>
    </w:pPr>
    <w:rPr>
      <w:i/>
      <w:iCs/>
      <w:color w:val="404040" w:themeColor="text1" w:themeTint="BF"/>
    </w:rPr>
  </w:style>
  <w:style w:type="character" w:customStyle="1" w:styleId="QuoteChar">
    <w:name w:val="Quote Char"/>
    <w:basedOn w:val="DefaultParagraphFont"/>
    <w:link w:val="Quote"/>
    <w:uiPriority w:val="29"/>
    <w:rsid w:val="00394706"/>
    <w:rPr>
      <w:i/>
      <w:iCs/>
      <w:color w:val="404040" w:themeColor="text1" w:themeTint="BF"/>
    </w:rPr>
  </w:style>
  <w:style w:type="paragraph" w:styleId="ListParagraph">
    <w:name w:val="List Paragraph"/>
    <w:basedOn w:val="Normal"/>
    <w:uiPriority w:val="34"/>
    <w:qFormat/>
    <w:rsid w:val="00394706"/>
    <w:pPr>
      <w:ind w:left="720"/>
      <w:contextualSpacing/>
    </w:pPr>
  </w:style>
  <w:style w:type="character" w:styleId="IntenseEmphasis">
    <w:name w:val="Intense Emphasis"/>
    <w:basedOn w:val="DefaultParagraphFont"/>
    <w:uiPriority w:val="21"/>
    <w:qFormat/>
    <w:rsid w:val="00394706"/>
    <w:rPr>
      <w:i/>
      <w:iCs/>
      <w:color w:val="0F4761" w:themeColor="accent1" w:themeShade="BF"/>
    </w:rPr>
  </w:style>
  <w:style w:type="paragraph" w:styleId="IntenseQuote">
    <w:name w:val="Intense Quote"/>
    <w:basedOn w:val="Normal"/>
    <w:next w:val="Normal"/>
    <w:link w:val="IntenseQuoteChar"/>
    <w:uiPriority w:val="30"/>
    <w:qFormat/>
    <w:rsid w:val="00394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706"/>
    <w:rPr>
      <w:i/>
      <w:iCs/>
      <w:color w:val="0F4761" w:themeColor="accent1" w:themeShade="BF"/>
    </w:rPr>
  </w:style>
  <w:style w:type="character" w:styleId="IntenseReference">
    <w:name w:val="Intense Reference"/>
    <w:basedOn w:val="DefaultParagraphFont"/>
    <w:uiPriority w:val="32"/>
    <w:qFormat/>
    <w:rsid w:val="00394706"/>
    <w:rPr>
      <w:b/>
      <w:bCs/>
      <w:smallCaps/>
      <w:color w:val="0F4761" w:themeColor="accent1" w:themeShade="BF"/>
      <w:spacing w:val="5"/>
    </w:rPr>
  </w:style>
  <w:style w:type="paragraph" w:styleId="Header">
    <w:name w:val="header"/>
    <w:basedOn w:val="Normal"/>
    <w:link w:val="HeaderChar"/>
    <w:uiPriority w:val="99"/>
    <w:unhideWhenUsed/>
    <w:rsid w:val="00394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06"/>
  </w:style>
  <w:style w:type="paragraph" w:styleId="Footer">
    <w:name w:val="footer"/>
    <w:basedOn w:val="Normal"/>
    <w:link w:val="FooterChar"/>
    <w:uiPriority w:val="99"/>
    <w:unhideWhenUsed/>
    <w:rsid w:val="00394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06"/>
  </w:style>
  <w:style w:type="paragraph" w:styleId="NoSpacing">
    <w:name w:val="No Spacing"/>
    <w:uiPriority w:val="1"/>
    <w:qFormat/>
    <w:rsid w:val="00BF2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1631">
      <w:bodyDiv w:val="1"/>
      <w:marLeft w:val="0"/>
      <w:marRight w:val="0"/>
      <w:marTop w:val="0"/>
      <w:marBottom w:val="0"/>
      <w:divBdr>
        <w:top w:val="none" w:sz="0" w:space="0" w:color="auto"/>
        <w:left w:val="none" w:sz="0" w:space="0" w:color="auto"/>
        <w:bottom w:val="none" w:sz="0" w:space="0" w:color="auto"/>
        <w:right w:val="none" w:sz="0" w:space="0" w:color="auto"/>
      </w:divBdr>
    </w:div>
    <w:div w:id="227544666">
      <w:bodyDiv w:val="1"/>
      <w:marLeft w:val="0"/>
      <w:marRight w:val="0"/>
      <w:marTop w:val="0"/>
      <w:marBottom w:val="0"/>
      <w:divBdr>
        <w:top w:val="none" w:sz="0" w:space="0" w:color="auto"/>
        <w:left w:val="none" w:sz="0" w:space="0" w:color="auto"/>
        <w:bottom w:val="none" w:sz="0" w:space="0" w:color="auto"/>
        <w:right w:val="none" w:sz="0" w:space="0" w:color="auto"/>
      </w:divBdr>
    </w:div>
    <w:div w:id="1013341908">
      <w:bodyDiv w:val="1"/>
      <w:marLeft w:val="0"/>
      <w:marRight w:val="0"/>
      <w:marTop w:val="0"/>
      <w:marBottom w:val="0"/>
      <w:divBdr>
        <w:top w:val="none" w:sz="0" w:space="0" w:color="auto"/>
        <w:left w:val="none" w:sz="0" w:space="0" w:color="auto"/>
        <w:bottom w:val="none" w:sz="0" w:space="0" w:color="auto"/>
        <w:right w:val="none" w:sz="0" w:space="0" w:color="auto"/>
      </w:divBdr>
    </w:div>
    <w:div w:id="1347945168">
      <w:bodyDiv w:val="1"/>
      <w:marLeft w:val="0"/>
      <w:marRight w:val="0"/>
      <w:marTop w:val="0"/>
      <w:marBottom w:val="0"/>
      <w:divBdr>
        <w:top w:val="none" w:sz="0" w:space="0" w:color="auto"/>
        <w:left w:val="none" w:sz="0" w:space="0" w:color="auto"/>
        <w:bottom w:val="none" w:sz="0" w:space="0" w:color="auto"/>
        <w:right w:val="none" w:sz="0" w:space="0" w:color="auto"/>
      </w:divBdr>
    </w:div>
    <w:div w:id="1400861029">
      <w:bodyDiv w:val="1"/>
      <w:marLeft w:val="0"/>
      <w:marRight w:val="0"/>
      <w:marTop w:val="0"/>
      <w:marBottom w:val="0"/>
      <w:divBdr>
        <w:top w:val="none" w:sz="0" w:space="0" w:color="auto"/>
        <w:left w:val="none" w:sz="0" w:space="0" w:color="auto"/>
        <w:bottom w:val="none" w:sz="0" w:space="0" w:color="auto"/>
        <w:right w:val="none" w:sz="0" w:space="0" w:color="auto"/>
      </w:divBdr>
    </w:div>
    <w:div w:id="19188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FF84AD2DA564BB3BDDB999930F936" ma:contentTypeVersion="19" ma:contentTypeDescription="Create a new document." ma:contentTypeScope="" ma:versionID="0f067de3a68803f76a91dcc65d9fa4b1">
  <xsd:schema xmlns:xsd="http://www.w3.org/2001/XMLSchema" xmlns:xs="http://www.w3.org/2001/XMLSchema" xmlns:p="http://schemas.microsoft.com/office/2006/metadata/properties" xmlns:ns1="http://schemas.microsoft.com/sharepoint/v3" xmlns:ns2="8fd1690b-57dc-4841-9a01-fb63f18e6dac" xmlns:ns3="254b4d9e-e3d9-4866-873f-67209f18a0d1" targetNamespace="http://schemas.microsoft.com/office/2006/metadata/properties" ma:root="true" ma:fieldsID="c23cddaae1bba85b568b6aacdedebdba" ns1:_="" ns2:_="" ns3:_="">
    <xsd:import namespace="http://schemas.microsoft.com/sharepoint/v3"/>
    <xsd:import namespace="8fd1690b-57dc-4841-9a01-fb63f18e6dac"/>
    <xsd:import namespace="254b4d9e-e3d9-4866-873f-67209f18a0d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1690b-57dc-4841-9a01-fb63f18e6d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af22c9-7c19-4fd2-bf95-c0add73098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b4d9e-e3d9-4866-873f-67209f18a0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5f25101-687d-4b87-940b-79e117d76c31}" ma:internalName="TaxCatchAll" ma:showField="CatchAllData" ma:web="254b4d9e-e3d9-4866-873f-67209f18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4b4d9e-e3d9-4866-873f-67209f18a0d1" xsi:nil="true"/>
    <lcf76f155ced4ddcb4097134ff3c332f xmlns="8fd1690b-57dc-4841-9a01-fb63f18e6dac">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B6FA23-B9D9-4381-9A56-FE46F807025E}">
  <ds:schemaRefs>
    <ds:schemaRef ds:uri="http://schemas.microsoft.com/sharepoint/v3/contenttype/forms"/>
  </ds:schemaRefs>
</ds:datastoreItem>
</file>

<file path=customXml/itemProps2.xml><?xml version="1.0" encoding="utf-8"?>
<ds:datastoreItem xmlns:ds="http://schemas.openxmlformats.org/officeDocument/2006/customXml" ds:itemID="{A9754784-A702-4230-9917-C05DAF4B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d1690b-57dc-4841-9a01-fb63f18e6dac"/>
    <ds:schemaRef ds:uri="254b4d9e-e3d9-4866-873f-67209f18a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AA589-7ADD-4B7E-BDA1-FB3D70AECD32}">
  <ds:schemaRefs>
    <ds:schemaRef ds:uri="http://schemas.microsoft.com/office/2006/metadata/properties"/>
    <ds:schemaRef ds:uri="http://schemas.microsoft.com/office/infopath/2007/PartnerControls"/>
    <ds:schemaRef ds:uri="254b4d9e-e3d9-4866-873f-67209f18a0d1"/>
    <ds:schemaRef ds:uri="8fd1690b-57dc-4841-9a01-fb63f18e6da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Lyons</dc:creator>
  <cp:keywords/>
  <dc:description/>
  <cp:lastModifiedBy>Carter Lyons</cp:lastModifiedBy>
  <cp:revision>27</cp:revision>
  <dcterms:created xsi:type="dcterms:W3CDTF">2025-01-24T03:38:00Z</dcterms:created>
  <dcterms:modified xsi:type="dcterms:W3CDTF">2025-01-24T20:34:00Z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0x010100AE6FF84AD2DA564BB3BDDB999930F936</vt:lpwstr>
  </property>
  <property fmtid="{D5CDD505-2E9C-101B-9397-08002B2CF9AE}" pid="3" name="MediaServiceImageTags">
    <vt:lpwstr/>
  </property>
</Properties>
</file>