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5DCC" w14:textId="77777777" w:rsidR="00824B93" w:rsidRDefault="00DC3163">
      <w:pPr>
        <w:spacing w:after="60"/>
        <w:jc w:val="center"/>
      </w:pPr>
      <w:r>
        <w:rPr>
          <w:b/>
          <w:bCs/>
          <w:color w:val="1F4E79"/>
          <w:sz w:val="40"/>
          <w:szCs w:val="40"/>
        </w:rPr>
        <w:t>Advocacy &amp; Standards Administrator</w:t>
      </w:r>
    </w:p>
    <w:p w14:paraId="049B1675" w14:textId="77777777" w:rsidR="00824B93" w:rsidRDefault="00DC3163">
      <w:pPr>
        <w:spacing w:after="300"/>
        <w:jc w:val="center"/>
      </w:pPr>
      <w:r>
        <w:rPr>
          <w:color w:val="2E75B6"/>
          <w:sz w:val="26"/>
          <w:szCs w:val="26"/>
        </w:rPr>
        <w:t>Job Description</w:t>
      </w:r>
    </w:p>
    <w:p w14:paraId="4CB93496" w14:textId="77777777" w:rsidR="00824B93" w:rsidRDefault="00DC3163">
      <w:pPr>
        <w:pBdr>
          <w:bottom w:val="single" w:sz="6" w:space="1" w:color="2E75B6"/>
        </w:pBdr>
        <w:spacing w:before="280" w:after="100"/>
      </w:pPr>
      <w:r>
        <w:rPr>
          <w:b/>
          <w:bCs/>
          <w:color w:val="1F4E79"/>
          <w:sz w:val="28"/>
          <w:szCs w:val="28"/>
        </w:rPr>
        <w:t>Position Details</w:t>
      </w:r>
    </w:p>
    <w:p w14:paraId="78232D2A" w14:textId="77777777" w:rsidR="00824B93" w:rsidRDefault="00DC3163">
      <w:pPr>
        <w:spacing w:before="60" w:after="60"/>
      </w:pPr>
      <w:r>
        <w:rPr>
          <w:b/>
          <w:bCs/>
          <w:color w:val="1F4E79"/>
        </w:rPr>
        <w:t xml:space="preserve">Position Title: </w:t>
      </w:r>
      <w:r>
        <w:rPr>
          <w:color w:val="595959"/>
        </w:rPr>
        <w:t>Advocacy &amp; Standards Administrator</w:t>
      </w:r>
    </w:p>
    <w:p w14:paraId="788899D1" w14:textId="7DD8DA97" w:rsidR="00824B93" w:rsidRDefault="00DC3163">
      <w:pPr>
        <w:spacing w:before="60" w:after="60"/>
      </w:pPr>
      <w:r>
        <w:rPr>
          <w:b/>
          <w:bCs/>
          <w:color w:val="1F4E79"/>
        </w:rPr>
        <w:t xml:space="preserve">Reports To: </w:t>
      </w:r>
      <w:r w:rsidR="002901E0" w:rsidRPr="002901E0">
        <w:rPr>
          <w:color w:val="1F4E79"/>
        </w:rPr>
        <w:t xml:space="preserve">CEO </w:t>
      </w:r>
    </w:p>
    <w:p w14:paraId="2B81E6FB" w14:textId="77777777" w:rsidR="00824B93" w:rsidRDefault="00DC3163">
      <w:pPr>
        <w:spacing w:before="60" w:after="60"/>
      </w:pPr>
      <w:r>
        <w:rPr>
          <w:b/>
          <w:bCs/>
          <w:color w:val="1F4E79"/>
        </w:rPr>
        <w:t xml:space="preserve">Status: </w:t>
      </w:r>
      <w:r>
        <w:rPr>
          <w:color w:val="595959"/>
        </w:rPr>
        <w:t>Full-Time</w:t>
      </w:r>
    </w:p>
    <w:p w14:paraId="3186EEFF" w14:textId="77777777" w:rsidR="00824B93" w:rsidRDefault="00DC3163">
      <w:pPr>
        <w:spacing w:before="60" w:after="60"/>
      </w:pPr>
      <w:r>
        <w:rPr>
          <w:b/>
          <w:bCs/>
          <w:color w:val="1F4E79"/>
        </w:rPr>
        <w:t xml:space="preserve">Location: </w:t>
      </w:r>
      <w:r>
        <w:rPr>
          <w:color w:val="595959"/>
        </w:rPr>
        <w:t>North Kansas City (Hybrid)</w:t>
      </w:r>
    </w:p>
    <w:p w14:paraId="208B6EE0" w14:textId="77777777" w:rsidR="00824B93" w:rsidRDefault="00DC3163">
      <w:pPr>
        <w:spacing w:before="60" w:after="60"/>
      </w:pPr>
      <w:r>
        <w:rPr>
          <w:b/>
          <w:bCs/>
          <w:color w:val="1F4E79"/>
        </w:rPr>
        <w:t xml:space="preserve">Compensation: </w:t>
      </w:r>
      <w:r>
        <w:rPr>
          <w:color w:val="595959"/>
        </w:rPr>
        <w:t>$55,000 – $65,000 annually, commensurate with experience</w:t>
      </w:r>
    </w:p>
    <w:p w14:paraId="202950BB" w14:textId="77777777" w:rsidR="00824B93" w:rsidRDefault="00DC3163">
      <w:pPr>
        <w:spacing w:before="60" w:after="60"/>
      </w:pPr>
      <w:r>
        <w:rPr>
          <w:b/>
          <w:bCs/>
          <w:color w:val="1F4E79"/>
        </w:rPr>
        <w:t xml:space="preserve">Travel: </w:t>
      </w:r>
      <w:r>
        <w:rPr>
          <w:color w:val="595959"/>
        </w:rPr>
        <w:t>Up to 20% (events &amp; committee meetings)</w:t>
      </w:r>
    </w:p>
    <w:p w14:paraId="6C0AE91A" w14:textId="77777777" w:rsidR="00824B93" w:rsidRDefault="00DC3163">
      <w:pPr>
        <w:spacing w:before="60" w:after="60"/>
      </w:pPr>
      <w:r>
        <w:rPr>
          <w:b/>
          <w:bCs/>
          <w:color w:val="1F4E79"/>
        </w:rPr>
        <w:t xml:space="preserve">Start Date: </w:t>
      </w:r>
      <w:r>
        <w:rPr>
          <w:color w:val="595959"/>
        </w:rPr>
        <w:t>Summer 2026</w:t>
      </w:r>
    </w:p>
    <w:p w14:paraId="799D7C1C" w14:textId="77777777" w:rsidR="00824B93" w:rsidRDefault="00DC3163">
      <w:pPr>
        <w:pBdr>
          <w:bottom w:val="single" w:sz="6" w:space="1" w:color="2E75B6"/>
        </w:pBdr>
        <w:spacing w:before="280" w:after="100"/>
      </w:pPr>
      <w:r>
        <w:rPr>
          <w:b/>
          <w:bCs/>
          <w:color w:val="1F4E79"/>
          <w:sz w:val="28"/>
          <w:szCs w:val="28"/>
        </w:rPr>
        <w:t>Benefits</w:t>
      </w:r>
    </w:p>
    <w:p w14:paraId="29AF2D24" w14:textId="77777777" w:rsidR="00824B93" w:rsidRDefault="00DC3163">
      <w:pPr>
        <w:pStyle w:val="ListParagraph"/>
        <w:numPr>
          <w:ilvl w:val="0"/>
          <w:numId w:val="2"/>
        </w:numPr>
        <w:spacing w:before="40" w:after="40"/>
      </w:pPr>
      <w:r>
        <w:rPr>
          <w:color w:val="595959"/>
        </w:rPr>
        <w:t>Paid Time Off (PTO)</w:t>
      </w:r>
    </w:p>
    <w:p w14:paraId="4063985E" w14:textId="226B5546" w:rsidR="00824B93" w:rsidRDefault="00DC3163">
      <w:pPr>
        <w:pStyle w:val="ListParagraph"/>
        <w:numPr>
          <w:ilvl w:val="0"/>
          <w:numId w:val="2"/>
        </w:numPr>
        <w:spacing w:before="40" w:after="40"/>
      </w:pPr>
      <w:r w:rsidRPr="00C64EEB">
        <w:rPr>
          <w:color w:val="595959"/>
          <w:highlight w:val="yellow"/>
        </w:rPr>
        <w:t>401(k)</w:t>
      </w:r>
      <w:r>
        <w:rPr>
          <w:color w:val="595959"/>
        </w:rPr>
        <w:t xml:space="preserve"> </w:t>
      </w:r>
      <w:r w:rsidR="003E64E0">
        <w:rPr>
          <w:color w:val="595959"/>
        </w:rPr>
        <w:t xml:space="preserve">Plan offering </w:t>
      </w:r>
      <w:r>
        <w:rPr>
          <w:color w:val="595959"/>
        </w:rPr>
        <w:t xml:space="preserve">with </w:t>
      </w:r>
      <w:r w:rsidR="003E64E0">
        <w:rPr>
          <w:color w:val="595959"/>
        </w:rPr>
        <w:t>100% match of the first</w:t>
      </w:r>
      <w:r>
        <w:rPr>
          <w:color w:val="595959"/>
        </w:rPr>
        <w:t xml:space="preserve"> 6% </w:t>
      </w:r>
      <w:r w:rsidR="003E64E0">
        <w:rPr>
          <w:color w:val="595959"/>
        </w:rPr>
        <w:t>of your deferred compensation</w:t>
      </w:r>
    </w:p>
    <w:p w14:paraId="47D92344" w14:textId="77777777" w:rsidR="00824B93" w:rsidRDefault="00DC3163">
      <w:pPr>
        <w:pStyle w:val="ListParagraph"/>
        <w:numPr>
          <w:ilvl w:val="0"/>
          <w:numId w:val="2"/>
        </w:numPr>
        <w:spacing w:before="40" w:after="40"/>
      </w:pPr>
      <w:r>
        <w:rPr>
          <w:color w:val="595959"/>
        </w:rPr>
        <w:t>Health insurance options</w:t>
      </w:r>
    </w:p>
    <w:p w14:paraId="702ACEBA" w14:textId="77777777" w:rsidR="00824B93" w:rsidRDefault="00DC3163">
      <w:pPr>
        <w:pStyle w:val="ListParagraph"/>
        <w:numPr>
          <w:ilvl w:val="0"/>
          <w:numId w:val="2"/>
        </w:numPr>
        <w:spacing w:before="40" w:after="40"/>
      </w:pPr>
      <w:r>
        <w:rPr>
          <w:color w:val="595959"/>
        </w:rPr>
        <w:t>Dental insurance options</w:t>
      </w:r>
    </w:p>
    <w:p w14:paraId="3549AC68" w14:textId="77777777" w:rsidR="00824B93" w:rsidRDefault="00DC3163">
      <w:pPr>
        <w:pStyle w:val="ListParagraph"/>
        <w:numPr>
          <w:ilvl w:val="0"/>
          <w:numId w:val="2"/>
        </w:numPr>
        <w:spacing w:before="40" w:after="40"/>
      </w:pPr>
      <w:r>
        <w:rPr>
          <w:color w:val="595959"/>
        </w:rPr>
        <w:t>Professional development opportunities</w:t>
      </w:r>
    </w:p>
    <w:p w14:paraId="6667EEEA" w14:textId="77777777" w:rsidR="00824B93" w:rsidRDefault="00DC3163">
      <w:pPr>
        <w:pStyle w:val="ListParagraph"/>
        <w:numPr>
          <w:ilvl w:val="0"/>
          <w:numId w:val="2"/>
        </w:numPr>
        <w:spacing w:before="40" w:after="40"/>
      </w:pPr>
      <w:r>
        <w:rPr>
          <w:color w:val="595959"/>
        </w:rPr>
        <w:t>Opportunity to serve and grow within a dynamic association environment</w:t>
      </w:r>
    </w:p>
    <w:p w14:paraId="3C457EBE" w14:textId="77777777" w:rsidR="00824B93" w:rsidRDefault="00DC3163">
      <w:pPr>
        <w:pBdr>
          <w:bottom w:val="single" w:sz="6" w:space="1" w:color="2E75B6"/>
        </w:pBdr>
        <w:spacing w:before="280" w:after="100"/>
      </w:pPr>
      <w:r>
        <w:rPr>
          <w:b/>
          <w:bCs/>
          <w:color w:val="1F4E79"/>
          <w:sz w:val="28"/>
          <w:szCs w:val="28"/>
        </w:rPr>
        <w:t>Position Overview</w:t>
      </w:r>
    </w:p>
    <w:p w14:paraId="511C22E7" w14:textId="77777777" w:rsidR="00824B93" w:rsidRDefault="00DC3163">
      <w:pPr>
        <w:spacing w:before="60" w:after="60"/>
      </w:pPr>
      <w:r>
        <w:rPr>
          <w:color w:val="595959"/>
        </w:rPr>
        <w:t>The Advocacy &amp; Standards Administrator serves as the operational backbone of ISFA’s two most consequential programs: the pursuit of ANSI Standards Developer accreditation and the American Countertop Manufacturers Council (ACMC). This role ensures that critical governance processes, compliance timelines, and committee activities run with precision and integrity.</w:t>
      </w:r>
    </w:p>
    <w:p w14:paraId="3F73D6A1" w14:textId="77777777" w:rsidR="00824B93" w:rsidRDefault="00DC3163">
      <w:pPr>
        <w:spacing w:before="60" w:after="60"/>
      </w:pPr>
      <w:r>
        <w:rPr>
          <w:color w:val="595959"/>
        </w:rPr>
        <w:t>The position works closely with the Director of Safety, Health &amp; Regulatory and collaborates across ISFA’s staff, volunteer committees, and member companies to advance worker safety standards and industry credibility.</w:t>
      </w:r>
    </w:p>
    <w:p w14:paraId="59FDA8BE" w14:textId="77777777" w:rsidR="00824B93" w:rsidRDefault="00DC3163">
      <w:pPr>
        <w:pBdr>
          <w:bottom w:val="single" w:sz="6" w:space="1" w:color="2E75B6"/>
        </w:pBdr>
        <w:spacing w:before="280" w:after="100"/>
      </w:pPr>
      <w:r>
        <w:rPr>
          <w:b/>
          <w:bCs/>
          <w:color w:val="1F4E79"/>
          <w:sz w:val="28"/>
          <w:szCs w:val="28"/>
        </w:rPr>
        <w:t>Ideal Candidate</w:t>
      </w:r>
    </w:p>
    <w:p w14:paraId="733F5B16" w14:textId="77777777" w:rsidR="00824B93" w:rsidRDefault="00DC3163">
      <w:pPr>
        <w:spacing w:before="60" w:after="60"/>
      </w:pPr>
      <w:r>
        <w:rPr>
          <w:color w:val="595959"/>
        </w:rPr>
        <w:t>The ideal candidate is a systems thinker who gets genuinely excited about process, structure, and making sure important work doesn’t fall through the cracks. They are deadline-driven, detail-obsessed, and calm under pressure—someone who can juggle multiple committees and overlapping timelines without losing accuracy or professionalism. They communicate clearly in writing, handle confidential matters with discretion, and bring a mission-driven mindset to every task. Experience in an association, nonprofit, or standards environment is a strong plus.</w:t>
      </w:r>
    </w:p>
    <w:p w14:paraId="60964191" w14:textId="77777777" w:rsidR="00824B93" w:rsidRDefault="00DC3163">
      <w:pPr>
        <w:pBdr>
          <w:bottom w:val="single" w:sz="6" w:space="1" w:color="2E75B6"/>
        </w:pBdr>
        <w:spacing w:before="280" w:after="100"/>
      </w:pPr>
      <w:r>
        <w:rPr>
          <w:b/>
          <w:bCs/>
          <w:color w:val="1F4E79"/>
          <w:sz w:val="28"/>
          <w:szCs w:val="28"/>
        </w:rPr>
        <w:t>Key Responsibilities</w:t>
      </w:r>
    </w:p>
    <w:p w14:paraId="7F5E4B23" w14:textId="77777777" w:rsidR="00824B93" w:rsidRDefault="00DC3163">
      <w:pPr>
        <w:spacing w:before="160" w:after="80"/>
      </w:pPr>
      <w:r>
        <w:rPr>
          <w:b/>
          <w:bCs/>
          <w:color w:val="1F4E79"/>
        </w:rPr>
        <w:t>ANSI Accreditation &amp; Standards Support</w:t>
      </w:r>
    </w:p>
    <w:p w14:paraId="5F757A65" w14:textId="77777777" w:rsidR="00824B93" w:rsidRDefault="00DC3163">
      <w:pPr>
        <w:pStyle w:val="ListParagraph"/>
        <w:numPr>
          <w:ilvl w:val="0"/>
          <w:numId w:val="2"/>
        </w:numPr>
        <w:spacing w:before="40" w:after="40"/>
      </w:pPr>
      <w:r>
        <w:rPr>
          <w:color w:val="595959"/>
        </w:rPr>
        <w:t>Maintain compliance documentation, process records, and timelines aligned with ANSI Essential Requirements for openness, due process, balance, and consensus.</w:t>
      </w:r>
    </w:p>
    <w:p w14:paraId="38E5581F" w14:textId="77777777" w:rsidR="00824B93" w:rsidRDefault="00DC3163">
      <w:pPr>
        <w:pStyle w:val="ListParagraph"/>
        <w:numPr>
          <w:ilvl w:val="0"/>
          <w:numId w:val="2"/>
        </w:numPr>
        <w:spacing w:before="40" w:after="40"/>
      </w:pPr>
      <w:r>
        <w:rPr>
          <w:color w:val="595959"/>
        </w:rPr>
        <w:lastRenderedPageBreak/>
        <w:t>Coordinate public comment periods: post notices, track submissions, log responses, and ensure no deadlines are missed.</w:t>
      </w:r>
    </w:p>
    <w:p w14:paraId="51727886" w14:textId="77777777" w:rsidR="00824B93" w:rsidRDefault="00DC3163">
      <w:pPr>
        <w:pStyle w:val="ListParagraph"/>
        <w:numPr>
          <w:ilvl w:val="0"/>
          <w:numId w:val="2"/>
        </w:numPr>
        <w:spacing w:before="40" w:after="40"/>
      </w:pPr>
      <w:r>
        <w:rPr>
          <w:color w:val="595959"/>
        </w:rPr>
        <w:t>Prepare and distribute meeting agendas, attendance records, voting logs, and consensus reports for standards working groups.</w:t>
      </w:r>
    </w:p>
    <w:p w14:paraId="2F868FA9" w14:textId="77777777" w:rsidR="00824B93" w:rsidRDefault="00DC3163">
      <w:pPr>
        <w:pStyle w:val="ListParagraph"/>
        <w:numPr>
          <w:ilvl w:val="0"/>
          <w:numId w:val="2"/>
        </w:numPr>
        <w:spacing w:before="40" w:after="40"/>
      </w:pPr>
      <w:r>
        <w:rPr>
          <w:color w:val="595959"/>
        </w:rPr>
        <w:t>Manage the standards document library—version control, revision tracking, public access procedures, and archival.</w:t>
      </w:r>
    </w:p>
    <w:p w14:paraId="58421E36" w14:textId="77777777" w:rsidR="00824B93" w:rsidRDefault="00DC3163">
      <w:pPr>
        <w:pStyle w:val="ListParagraph"/>
        <w:numPr>
          <w:ilvl w:val="0"/>
          <w:numId w:val="2"/>
        </w:numPr>
        <w:spacing w:before="40" w:after="40"/>
      </w:pPr>
      <w:r>
        <w:rPr>
          <w:color w:val="595959"/>
        </w:rPr>
        <w:t>Draft and format standards-related communications for committee review.</w:t>
      </w:r>
    </w:p>
    <w:p w14:paraId="7B8DD2F5" w14:textId="77777777" w:rsidR="00824B93" w:rsidRDefault="00DC3163">
      <w:pPr>
        <w:pStyle w:val="ListParagraph"/>
        <w:numPr>
          <w:ilvl w:val="0"/>
          <w:numId w:val="2"/>
        </w:numPr>
        <w:spacing w:before="40" w:after="40"/>
      </w:pPr>
      <w:r>
        <w:rPr>
          <w:color w:val="595959"/>
        </w:rPr>
        <w:t>Monitor ANSI procedural requirements and flag upcoming compliance obligations to the Director.</w:t>
      </w:r>
    </w:p>
    <w:p w14:paraId="0AE2FCF0" w14:textId="77777777" w:rsidR="00824B93" w:rsidRDefault="00DC3163">
      <w:pPr>
        <w:spacing w:before="160" w:after="80"/>
      </w:pPr>
      <w:r>
        <w:rPr>
          <w:b/>
          <w:bCs/>
          <w:color w:val="1F4E79"/>
        </w:rPr>
        <w:t>ACMC Administration</w:t>
      </w:r>
    </w:p>
    <w:p w14:paraId="410E4773" w14:textId="77777777" w:rsidR="00824B93" w:rsidRDefault="00DC3163">
      <w:pPr>
        <w:pStyle w:val="ListParagraph"/>
        <w:numPr>
          <w:ilvl w:val="0"/>
          <w:numId w:val="2"/>
        </w:numPr>
        <w:spacing w:before="40" w:after="40"/>
      </w:pPr>
      <w:r>
        <w:rPr>
          <w:color w:val="595959"/>
        </w:rPr>
        <w:t>Administer the ACMC Issue Register: receive submissions, verify completeness, log entries, and track status from submission through final publication.</w:t>
      </w:r>
    </w:p>
    <w:p w14:paraId="5BD7CC76" w14:textId="77777777" w:rsidR="00824B93" w:rsidRDefault="00DC3163">
      <w:pPr>
        <w:pStyle w:val="ListParagraph"/>
        <w:numPr>
          <w:ilvl w:val="0"/>
          <w:numId w:val="2"/>
        </w:numPr>
        <w:spacing w:before="40" w:after="40"/>
      </w:pPr>
      <w:r>
        <w:rPr>
          <w:color w:val="595959"/>
        </w:rPr>
        <w:t>Coordinate the open comment process—notify manufacturers, collect and organize public comments, and ensure all voices are documented per ACMC policies.</w:t>
      </w:r>
    </w:p>
    <w:p w14:paraId="00CBA1DD" w14:textId="77777777" w:rsidR="00824B93" w:rsidRDefault="00DC3163">
      <w:pPr>
        <w:pStyle w:val="ListParagraph"/>
        <w:numPr>
          <w:ilvl w:val="0"/>
          <w:numId w:val="2"/>
        </w:numPr>
        <w:spacing w:before="40" w:after="40"/>
      </w:pPr>
      <w:r>
        <w:rPr>
          <w:color w:val="595959"/>
        </w:rPr>
        <w:t>Schedule and prepare for quarterly Council meetings: draft agendas, distribute materials in advance, coordinate logistics, and ensure an antitrust compliance statement opens every meeting.</w:t>
      </w:r>
    </w:p>
    <w:p w14:paraId="1F0D4A58" w14:textId="77777777" w:rsidR="00824B93" w:rsidRDefault="00DC3163">
      <w:pPr>
        <w:pStyle w:val="ListParagraph"/>
        <w:numPr>
          <w:ilvl w:val="0"/>
          <w:numId w:val="2"/>
        </w:numPr>
        <w:spacing w:before="40" w:after="40"/>
      </w:pPr>
      <w:r>
        <w:rPr>
          <w:color w:val="595959"/>
        </w:rPr>
        <w:t>Record meeting notes, document deliberations, and prepare vote summaries for the official record.</w:t>
      </w:r>
    </w:p>
    <w:p w14:paraId="5BE9C824" w14:textId="77777777" w:rsidR="00824B93" w:rsidRDefault="00DC3163">
      <w:pPr>
        <w:pStyle w:val="ListParagraph"/>
        <w:numPr>
          <w:ilvl w:val="0"/>
          <w:numId w:val="2"/>
        </w:numPr>
        <w:spacing w:before="40" w:after="40"/>
      </w:pPr>
      <w:r>
        <w:rPr>
          <w:color w:val="595959"/>
        </w:rPr>
        <w:t>Support production of the Quarterly Countertop Insights Report and Annual State of the Countertop Manufacturer Report.</w:t>
      </w:r>
    </w:p>
    <w:p w14:paraId="32AFFEEF" w14:textId="77777777" w:rsidR="00824B93" w:rsidRDefault="00DC3163">
      <w:pPr>
        <w:pStyle w:val="ListParagraph"/>
        <w:numPr>
          <w:ilvl w:val="0"/>
          <w:numId w:val="2"/>
        </w:numPr>
        <w:spacing w:before="40" w:after="40"/>
      </w:pPr>
      <w:r>
        <w:rPr>
          <w:color w:val="595959"/>
        </w:rPr>
        <w:t>Manage member communications, track terms and renewals (July–June annual cycle), and maintain the ACMC member roster.</w:t>
      </w:r>
    </w:p>
    <w:p w14:paraId="24D3DD8F" w14:textId="77777777" w:rsidR="00824B93" w:rsidRDefault="00DC3163">
      <w:pPr>
        <w:pStyle w:val="ListParagraph"/>
        <w:numPr>
          <w:ilvl w:val="0"/>
          <w:numId w:val="2"/>
        </w:numPr>
        <w:spacing w:before="40" w:after="40"/>
      </w:pPr>
      <w:r>
        <w:rPr>
          <w:color w:val="595959"/>
        </w:rPr>
        <w:t>Maintain ACMC’s Single Source of Truth documentation system—standardized templates, permanent archival, and accessible record-keeping.</w:t>
      </w:r>
    </w:p>
    <w:p w14:paraId="6EE77C68" w14:textId="77777777" w:rsidR="00824B93" w:rsidRDefault="00DC3163">
      <w:pPr>
        <w:spacing w:before="160" w:after="80"/>
      </w:pPr>
      <w:r>
        <w:rPr>
          <w:b/>
          <w:bCs/>
          <w:color w:val="1F4E79"/>
        </w:rPr>
        <w:t>Committee Coordination</w:t>
      </w:r>
    </w:p>
    <w:p w14:paraId="419C8A3B" w14:textId="77777777" w:rsidR="00824B93" w:rsidRDefault="00DC3163">
      <w:pPr>
        <w:pStyle w:val="ListParagraph"/>
        <w:numPr>
          <w:ilvl w:val="0"/>
          <w:numId w:val="2"/>
        </w:numPr>
        <w:spacing w:before="40" w:after="40"/>
      </w:pPr>
      <w:r>
        <w:rPr>
          <w:color w:val="595959"/>
        </w:rPr>
        <w:t>Serve as administrative liaison for the Safety, Health &amp; Regulatory Committee and ACMC Council—scheduling, minutes, and action item tracking.</w:t>
      </w:r>
    </w:p>
    <w:p w14:paraId="2D6FDB5E" w14:textId="77777777" w:rsidR="00824B93" w:rsidRDefault="00DC3163">
      <w:pPr>
        <w:pStyle w:val="ListParagraph"/>
        <w:numPr>
          <w:ilvl w:val="0"/>
          <w:numId w:val="2"/>
        </w:numPr>
        <w:spacing w:before="40" w:after="40"/>
      </w:pPr>
      <w:r>
        <w:rPr>
          <w:color w:val="595959"/>
        </w:rPr>
        <w:t>Coordinate across multiple committees simultaneously, managing competing timelines with grace.</w:t>
      </w:r>
    </w:p>
    <w:p w14:paraId="373F6823" w14:textId="77777777" w:rsidR="00824B93" w:rsidRDefault="00DC3163">
      <w:pPr>
        <w:pStyle w:val="ListParagraph"/>
        <w:numPr>
          <w:ilvl w:val="0"/>
          <w:numId w:val="2"/>
        </w:numPr>
        <w:spacing w:before="40" w:after="40"/>
      </w:pPr>
      <w:r>
        <w:rPr>
          <w:color w:val="595959"/>
        </w:rPr>
        <w:t>Prepare progress summaries and Board of Directors update materials.</w:t>
      </w:r>
    </w:p>
    <w:p w14:paraId="168AC907" w14:textId="77777777" w:rsidR="00824B93" w:rsidRDefault="00DC3163">
      <w:pPr>
        <w:pStyle w:val="ListParagraph"/>
        <w:numPr>
          <w:ilvl w:val="0"/>
          <w:numId w:val="2"/>
        </w:numPr>
        <w:spacing w:before="40" w:after="40"/>
      </w:pPr>
      <w:r>
        <w:rPr>
          <w:color w:val="595959"/>
        </w:rPr>
        <w:t>Build and maintain committee rosters, term records, and leadership contact lists.</w:t>
      </w:r>
    </w:p>
    <w:p w14:paraId="654EE1DD" w14:textId="77777777" w:rsidR="00824B93" w:rsidRDefault="00DC3163">
      <w:pPr>
        <w:pStyle w:val="ListParagraph"/>
        <w:numPr>
          <w:ilvl w:val="0"/>
          <w:numId w:val="2"/>
        </w:numPr>
        <w:spacing w:before="40" w:after="40"/>
      </w:pPr>
      <w:r>
        <w:rPr>
          <w:color w:val="595959"/>
        </w:rPr>
        <w:t>Coordinate onboarding of new committee members and Council participants.</w:t>
      </w:r>
    </w:p>
    <w:p w14:paraId="1E3BD0B3" w14:textId="77777777" w:rsidR="00824B93" w:rsidRDefault="00DC3163">
      <w:pPr>
        <w:spacing w:before="160" w:after="80"/>
      </w:pPr>
      <w:r>
        <w:rPr>
          <w:b/>
          <w:bCs/>
          <w:color w:val="1F4E79"/>
        </w:rPr>
        <w:t>Advocacy &amp; Communications Support</w:t>
      </w:r>
    </w:p>
    <w:p w14:paraId="77C22EB4" w14:textId="77777777" w:rsidR="00824B93" w:rsidRDefault="00DC3163">
      <w:pPr>
        <w:pStyle w:val="ListParagraph"/>
        <w:numPr>
          <w:ilvl w:val="0"/>
          <w:numId w:val="2"/>
        </w:numPr>
        <w:spacing w:before="40" w:after="40"/>
      </w:pPr>
      <w:r>
        <w:rPr>
          <w:color w:val="595959"/>
        </w:rPr>
        <w:t>Support the Director in drafting regulatory updates, member alerts, and advocacy communications.</w:t>
      </w:r>
    </w:p>
    <w:p w14:paraId="6F869AC3" w14:textId="77777777" w:rsidR="00824B93" w:rsidRDefault="00DC3163">
      <w:pPr>
        <w:pStyle w:val="ListParagraph"/>
        <w:numPr>
          <w:ilvl w:val="0"/>
          <w:numId w:val="2"/>
        </w:numPr>
        <w:spacing w:before="40" w:after="40"/>
      </w:pPr>
      <w:r>
        <w:rPr>
          <w:color w:val="595959"/>
        </w:rPr>
        <w:t>Assist with conference sessions, webinar logistics, and industry event coordination.</w:t>
      </w:r>
    </w:p>
    <w:p w14:paraId="19EC0FEC" w14:textId="77777777" w:rsidR="00824B93" w:rsidRDefault="00DC3163">
      <w:pPr>
        <w:pStyle w:val="ListParagraph"/>
        <w:numPr>
          <w:ilvl w:val="0"/>
          <w:numId w:val="2"/>
        </w:numPr>
        <w:spacing w:before="40" w:after="40"/>
      </w:pPr>
      <w:r>
        <w:rPr>
          <w:color w:val="595959"/>
        </w:rPr>
        <w:t>Help translate technical standards and regulatory content into clear, accessible member-facing communications.</w:t>
      </w:r>
    </w:p>
    <w:p w14:paraId="102B8590" w14:textId="77777777" w:rsidR="00824B93" w:rsidRDefault="00DC3163">
      <w:pPr>
        <w:pStyle w:val="ListParagraph"/>
        <w:numPr>
          <w:ilvl w:val="0"/>
          <w:numId w:val="2"/>
        </w:numPr>
        <w:spacing w:before="40" w:after="40"/>
      </w:pPr>
      <w:r>
        <w:rPr>
          <w:color w:val="595959"/>
        </w:rPr>
        <w:t>Coordinate with marketing on publication timelines for ACMC reports and standards releases.</w:t>
      </w:r>
    </w:p>
    <w:p w14:paraId="70AF9AF5" w14:textId="77777777" w:rsidR="00824B93" w:rsidRDefault="00DC3163">
      <w:pPr>
        <w:pStyle w:val="ListParagraph"/>
        <w:numPr>
          <w:ilvl w:val="0"/>
          <w:numId w:val="2"/>
        </w:numPr>
        <w:spacing w:before="40" w:after="40"/>
      </w:pPr>
      <w:r>
        <w:rPr>
          <w:color w:val="595959"/>
        </w:rPr>
        <w:t>Maintain and update relevant web content related to standards, ACMC, and advocacy programs.</w:t>
      </w:r>
    </w:p>
    <w:p w14:paraId="1BD8AB4F" w14:textId="77777777" w:rsidR="00824B93" w:rsidRDefault="00DC3163">
      <w:pPr>
        <w:pStyle w:val="ListParagraph"/>
        <w:numPr>
          <w:ilvl w:val="0"/>
          <w:numId w:val="2"/>
        </w:numPr>
        <w:spacing w:before="40" w:after="40"/>
      </w:pPr>
      <w:r>
        <w:rPr>
          <w:color w:val="595959"/>
        </w:rPr>
        <w:t>Maintain a high level of confidentiality and professionalism when interacting with members, volunteers, and industry partners.</w:t>
      </w:r>
    </w:p>
    <w:p w14:paraId="6230A461" w14:textId="77777777" w:rsidR="00824B93" w:rsidRDefault="00DC3163">
      <w:pPr>
        <w:pStyle w:val="ListParagraph"/>
        <w:numPr>
          <w:ilvl w:val="0"/>
          <w:numId w:val="2"/>
        </w:numPr>
        <w:spacing w:before="40" w:after="40"/>
      </w:pPr>
      <w:r>
        <w:rPr>
          <w:color w:val="595959"/>
        </w:rPr>
        <w:lastRenderedPageBreak/>
        <w:t>Perform all other duties as assigned.</w:t>
      </w:r>
    </w:p>
    <w:p w14:paraId="7F1EFD4B" w14:textId="77777777" w:rsidR="00824B93" w:rsidRDefault="00DC3163">
      <w:pPr>
        <w:pBdr>
          <w:bottom w:val="single" w:sz="6" w:space="1" w:color="2E75B6"/>
        </w:pBdr>
        <w:spacing w:before="280" w:after="100"/>
      </w:pPr>
      <w:r>
        <w:rPr>
          <w:b/>
          <w:bCs/>
          <w:color w:val="1F4E79"/>
          <w:sz w:val="28"/>
          <w:szCs w:val="28"/>
        </w:rPr>
        <w:t>Required Skills &amp; Experience</w:t>
      </w:r>
    </w:p>
    <w:p w14:paraId="62E82134" w14:textId="77777777" w:rsidR="00824B93" w:rsidRDefault="00DC3163">
      <w:pPr>
        <w:pStyle w:val="ListParagraph"/>
        <w:numPr>
          <w:ilvl w:val="0"/>
          <w:numId w:val="2"/>
        </w:numPr>
        <w:spacing w:before="40" w:after="40"/>
      </w:pPr>
      <w:r>
        <w:rPr>
          <w:color w:val="595959"/>
        </w:rPr>
        <w:t>2+ years of administrative, operations, or program coordination experience.</w:t>
      </w:r>
    </w:p>
    <w:p w14:paraId="7E4EA493" w14:textId="77777777" w:rsidR="00824B93" w:rsidRDefault="00DC3163">
      <w:pPr>
        <w:pStyle w:val="ListParagraph"/>
        <w:numPr>
          <w:ilvl w:val="0"/>
          <w:numId w:val="2"/>
        </w:numPr>
        <w:spacing w:before="40" w:after="40"/>
      </w:pPr>
      <w:r>
        <w:rPr>
          <w:color w:val="595959"/>
        </w:rPr>
        <w:t>Exceptional organizational skills with an instinct for deadlines and follow-through.</w:t>
      </w:r>
    </w:p>
    <w:p w14:paraId="2A0C8FB1" w14:textId="77777777" w:rsidR="00824B93" w:rsidRDefault="00DC3163">
      <w:pPr>
        <w:pStyle w:val="ListParagraph"/>
        <w:numPr>
          <w:ilvl w:val="0"/>
          <w:numId w:val="2"/>
        </w:numPr>
        <w:spacing w:before="40" w:after="40"/>
      </w:pPr>
      <w:r>
        <w:rPr>
          <w:color w:val="595959"/>
        </w:rPr>
        <w:t>Strong written communication skills—clear, professional, and precise.</w:t>
      </w:r>
    </w:p>
    <w:p w14:paraId="3EF14F8B" w14:textId="77777777" w:rsidR="00824B93" w:rsidRDefault="00DC3163">
      <w:pPr>
        <w:pStyle w:val="ListParagraph"/>
        <w:numPr>
          <w:ilvl w:val="0"/>
          <w:numId w:val="2"/>
        </w:numPr>
        <w:spacing w:before="40" w:after="40"/>
      </w:pPr>
      <w:r>
        <w:rPr>
          <w:color w:val="595959"/>
        </w:rPr>
        <w:t>Comfortable managing multiple projects and stakeholders at once.</w:t>
      </w:r>
    </w:p>
    <w:p w14:paraId="4A8563F5" w14:textId="77777777" w:rsidR="00824B93" w:rsidRDefault="00DC3163">
      <w:pPr>
        <w:pStyle w:val="ListParagraph"/>
        <w:numPr>
          <w:ilvl w:val="0"/>
          <w:numId w:val="2"/>
        </w:numPr>
        <w:spacing w:before="40" w:after="40"/>
      </w:pPr>
      <w:r>
        <w:rPr>
          <w:color w:val="595959"/>
        </w:rPr>
        <w:t>Proficiency in Microsoft Office (Word, Excel, Outlook) and digital collaboration tools.</w:t>
      </w:r>
    </w:p>
    <w:p w14:paraId="7A588D62" w14:textId="77777777" w:rsidR="00824B93" w:rsidRDefault="00DC3163">
      <w:pPr>
        <w:pStyle w:val="ListParagraph"/>
        <w:numPr>
          <w:ilvl w:val="0"/>
          <w:numId w:val="2"/>
        </w:numPr>
        <w:spacing w:before="40" w:after="40"/>
      </w:pPr>
      <w:r>
        <w:rPr>
          <w:color w:val="595959"/>
        </w:rPr>
        <w:t>High attention to detail—you catch the typo, the missing field, and the off-cycle deadline.</w:t>
      </w:r>
    </w:p>
    <w:p w14:paraId="3234F192" w14:textId="77777777" w:rsidR="00824B93" w:rsidRDefault="00DC3163">
      <w:pPr>
        <w:pStyle w:val="ListParagraph"/>
        <w:numPr>
          <w:ilvl w:val="0"/>
          <w:numId w:val="2"/>
        </w:numPr>
        <w:spacing w:before="40" w:after="40"/>
      </w:pPr>
      <w:r>
        <w:rPr>
          <w:color w:val="595959"/>
        </w:rPr>
        <w:t>Demonstrated ability to handle confidential information with discretion.</w:t>
      </w:r>
    </w:p>
    <w:p w14:paraId="34244961" w14:textId="77777777" w:rsidR="00824B93" w:rsidRDefault="00DC3163">
      <w:pPr>
        <w:pStyle w:val="ListParagraph"/>
        <w:numPr>
          <w:ilvl w:val="0"/>
          <w:numId w:val="2"/>
        </w:numPr>
        <w:spacing w:before="40" w:after="40"/>
      </w:pPr>
      <w:r>
        <w:rPr>
          <w:color w:val="595959"/>
        </w:rPr>
        <w:t>Ability to travel up to 20% for events and committee meetings.</w:t>
      </w:r>
    </w:p>
    <w:p w14:paraId="6F1FD1D2" w14:textId="77777777" w:rsidR="00824B93" w:rsidRDefault="00DC3163">
      <w:pPr>
        <w:pBdr>
          <w:bottom w:val="single" w:sz="6" w:space="1" w:color="2E75B6"/>
        </w:pBdr>
        <w:spacing w:before="280" w:after="100"/>
      </w:pPr>
      <w:r>
        <w:rPr>
          <w:b/>
          <w:bCs/>
          <w:color w:val="1F4E79"/>
          <w:sz w:val="28"/>
          <w:szCs w:val="28"/>
        </w:rPr>
        <w:t>Preferred Qualifications</w:t>
      </w:r>
    </w:p>
    <w:p w14:paraId="32C15F59" w14:textId="77777777" w:rsidR="00824B93" w:rsidRDefault="00DC3163">
      <w:pPr>
        <w:pStyle w:val="ListParagraph"/>
        <w:numPr>
          <w:ilvl w:val="0"/>
          <w:numId w:val="2"/>
        </w:numPr>
        <w:spacing w:before="40" w:after="40"/>
      </w:pPr>
      <w:r>
        <w:rPr>
          <w:color w:val="595959"/>
        </w:rPr>
        <w:t>Experience in a trade association, nonprofit, or standards organization.</w:t>
      </w:r>
    </w:p>
    <w:p w14:paraId="3F73AF20" w14:textId="77777777" w:rsidR="00824B93" w:rsidRDefault="00DC3163">
      <w:pPr>
        <w:pStyle w:val="ListParagraph"/>
        <w:numPr>
          <w:ilvl w:val="0"/>
          <w:numId w:val="2"/>
        </w:numPr>
        <w:spacing w:before="40" w:after="40"/>
      </w:pPr>
      <w:r>
        <w:rPr>
          <w:color w:val="595959"/>
        </w:rPr>
        <w:t>Familiarity with consensus-based processes, committee governance, or accreditation frameworks.</w:t>
      </w:r>
    </w:p>
    <w:p w14:paraId="541237A4" w14:textId="77777777" w:rsidR="00824B93" w:rsidRDefault="00DC3163">
      <w:pPr>
        <w:pStyle w:val="ListParagraph"/>
        <w:numPr>
          <w:ilvl w:val="0"/>
          <w:numId w:val="2"/>
        </w:numPr>
        <w:spacing w:before="40" w:after="40"/>
      </w:pPr>
      <w:r>
        <w:rPr>
          <w:color w:val="595959"/>
        </w:rPr>
        <w:t>Experience supporting volunteer boards, councils, or technical committees.</w:t>
      </w:r>
    </w:p>
    <w:p w14:paraId="59ED6053" w14:textId="77777777" w:rsidR="00824B93" w:rsidRDefault="00DC3163">
      <w:pPr>
        <w:pStyle w:val="ListParagraph"/>
        <w:numPr>
          <w:ilvl w:val="0"/>
          <w:numId w:val="2"/>
        </w:numPr>
        <w:spacing w:before="40" w:after="40"/>
      </w:pPr>
      <w:r>
        <w:rPr>
          <w:color w:val="595959"/>
        </w:rPr>
        <w:t>Exposure to ANSI, ISO, or other standards development processes.</w:t>
      </w:r>
    </w:p>
    <w:p w14:paraId="02953084" w14:textId="77777777" w:rsidR="00824B93" w:rsidRDefault="00DC3163">
      <w:pPr>
        <w:pStyle w:val="ListParagraph"/>
        <w:numPr>
          <w:ilvl w:val="0"/>
          <w:numId w:val="2"/>
        </w:numPr>
        <w:spacing w:before="40" w:after="40"/>
      </w:pPr>
      <w:r>
        <w:rPr>
          <w:color w:val="595959"/>
        </w:rPr>
        <w:t>CRM or database administration experience.</w:t>
      </w:r>
    </w:p>
    <w:p w14:paraId="3072DBB2" w14:textId="77777777" w:rsidR="00824B93" w:rsidRDefault="00DC3163">
      <w:pPr>
        <w:pStyle w:val="ListParagraph"/>
        <w:numPr>
          <w:ilvl w:val="0"/>
          <w:numId w:val="2"/>
        </w:numPr>
        <w:spacing w:before="40" w:after="40"/>
      </w:pPr>
      <w:r>
        <w:rPr>
          <w:color w:val="595959"/>
        </w:rPr>
        <w:t>Event or conference coordination experience.</w:t>
      </w:r>
    </w:p>
    <w:p w14:paraId="416307CB" w14:textId="77777777" w:rsidR="00824B93" w:rsidRDefault="00DC3163">
      <w:pPr>
        <w:pStyle w:val="ListParagraph"/>
        <w:numPr>
          <w:ilvl w:val="0"/>
          <w:numId w:val="2"/>
        </w:numPr>
        <w:spacing w:before="40" w:after="40"/>
      </w:pPr>
      <w:r>
        <w:rPr>
          <w:color w:val="595959"/>
        </w:rPr>
        <w:t>Spanish language skills a plus.</w:t>
      </w:r>
    </w:p>
    <w:p w14:paraId="0F2ED635" w14:textId="77777777" w:rsidR="00824B93" w:rsidRDefault="00DC3163">
      <w:pPr>
        <w:pBdr>
          <w:bottom w:val="single" w:sz="6" w:space="1" w:color="2E75B6"/>
        </w:pBdr>
        <w:spacing w:before="280" w:after="100"/>
      </w:pPr>
      <w:r>
        <w:rPr>
          <w:b/>
          <w:bCs/>
          <w:color w:val="1F4E79"/>
          <w:sz w:val="28"/>
          <w:szCs w:val="28"/>
        </w:rPr>
        <w:t>Personal Attributes</w:t>
      </w:r>
    </w:p>
    <w:p w14:paraId="12DC7278" w14:textId="77777777" w:rsidR="00824B93" w:rsidRDefault="00DC3163">
      <w:pPr>
        <w:pStyle w:val="ListParagraph"/>
        <w:numPr>
          <w:ilvl w:val="0"/>
          <w:numId w:val="2"/>
        </w:numPr>
        <w:spacing w:before="40" w:after="40"/>
      </w:pPr>
      <w:r>
        <w:rPr>
          <w:color w:val="595959"/>
        </w:rPr>
        <w:t>Systems thinker with a process-improvement mindset.</w:t>
      </w:r>
    </w:p>
    <w:p w14:paraId="2E201673" w14:textId="77777777" w:rsidR="00824B93" w:rsidRDefault="00DC3163">
      <w:pPr>
        <w:pStyle w:val="ListParagraph"/>
        <w:numPr>
          <w:ilvl w:val="0"/>
          <w:numId w:val="2"/>
        </w:numPr>
        <w:spacing w:before="40" w:after="40"/>
      </w:pPr>
      <w:r>
        <w:rPr>
          <w:color w:val="595959"/>
        </w:rPr>
        <w:t>Deadline-driven with consistent follow-through.</w:t>
      </w:r>
    </w:p>
    <w:p w14:paraId="2009FDBD" w14:textId="77777777" w:rsidR="00824B93" w:rsidRDefault="00DC3163">
      <w:pPr>
        <w:pStyle w:val="ListParagraph"/>
        <w:numPr>
          <w:ilvl w:val="0"/>
          <w:numId w:val="2"/>
        </w:numPr>
        <w:spacing w:before="40" w:after="40"/>
      </w:pPr>
      <w:r>
        <w:rPr>
          <w:color w:val="595959"/>
        </w:rPr>
        <w:t>Detail-devoted and precise.</w:t>
      </w:r>
    </w:p>
    <w:p w14:paraId="3A580BD6" w14:textId="77777777" w:rsidR="00824B93" w:rsidRDefault="00DC3163">
      <w:pPr>
        <w:pStyle w:val="ListParagraph"/>
        <w:numPr>
          <w:ilvl w:val="0"/>
          <w:numId w:val="2"/>
        </w:numPr>
        <w:spacing w:before="40" w:after="40"/>
      </w:pPr>
      <w:r>
        <w:rPr>
          <w:color w:val="595959"/>
        </w:rPr>
        <w:t>Collaborative and calm under pressure.</w:t>
      </w:r>
    </w:p>
    <w:p w14:paraId="5ECAD1DA" w14:textId="77777777" w:rsidR="00824B93" w:rsidRDefault="00DC3163">
      <w:pPr>
        <w:pStyle w:val="ListParagraph"/>
        <w:numPr>
          <w:ilvl w:val="0"/>
          <w:numId w:val="2"/>
        </w:numPr>
        <w:spacing w:before="40" w:after="40"/>
      </w:pPr>
      <w:r>
        <w:rPr>
          <w:color w:val="595959"/>
        </w:rPr>
        <w:t>Mission-driven—you care about worker safety and industry credibility as real outcomes, not just talking points.</w:t>
      </w:r>
    </w:p>
    <w:p w14:paraId="25E1927B" w14:textId="77777777" w:rsidR="00824B93" w:rsidRDefault="00DC3163">
      <w:pPr>
        <w:pBdr>
          <w:bottom w:val="single" w:sz="6" w:space="1" w:color="2E75B6"/>
        </w:pBdr>
        <w:spacing w:before="280" w:after="100"/>
      </w:pPr>
      <w:r>
        <w:rPr>
          <w:b/>
          <w:bCs/>
          <w:color w:val="1F4E79"/>
          <w:sz w:val="28"/>
          <w:szCs w:val="28"/>
        </w:rPr>
        <w:t>Education</w:t>
      </w:r>
    </w:p>
    <w:p w14:paraId="59BD3CF1" w14:textId="77777777" w:rsidR="00824B93" w:rsidRDefault="00DC3163">
      <w:pPr>
        <w:spacing w:before="60" w:after="60"/>
      </w:pPr>
      <w:r>
        <w:rPr>
          <w:color w:val="595959"/>
        </w:rPr>
        <w:t>Associate’s or Bachelor’s degree in business administration, communications, public administration, or a related field preferred. Equivalent combination of education and hands-on experience will be considered.</w:t>
      </w:r>
    </w:p>
    <w:p w14:paraId="4BD7D599" w14:textId="77777777" w:rsidR="00824B93" w:rsidRDefault="00DC3163">
      <w:pPr>
        <w:pBdr>
          <w:bottom w:val="single" w:sz="6" w:space="1" w:color="2E75B6"/>
        </w:pBdr>
        <w:spacing w:before="280" w:after="100"/>
      </w:pPr>
      <w:r>
        <w:rPr>
          <w:b/>
          <w:bCs/>
          <w:color w:val="1F4E79"/>
          <w:sz w:val="28"/>
          <w:szCs w:val="28"/>
        </w:rPr>
        <w:t>Success Measures</w:t>
      </w:r>
    </w:p>
    <w:p w14:paraId="322A2593" w14:textId="77777777" w:rsidR="00824B93" w:rsidRDefault="00DC3163">
      <w:pPr>
        <w:pStyle w:val="ListParagraph"/>
        <w:numPr>
          <w:ilvl w:val="0"/>
          <w:numId w:val="2"/>
        </w:numPr>
        <w:spacing w:before="40" w:after="40"/>
      </w:pPr>
      <w:r>
        <w:rPr>
          <w:color w:val="595959"/>
        </w:rPr>
        <w:t>Zero missed ANSI compliance deadlines or procedural gaps.</w:t>
      </w:r>
    </w:p>
    <w:p w14:paraId="15F04DD3" w14:textId="77777777" w:rsidR="00824B93" w:rsidRDefault="00DC3163">
      <w:pPr>
        <w:pStyle w:val="ListParagraph"/>
        <w:numPr>
          <w:ilvl w:val="0"/>
          <w:numId w:val="2"/>
        </w:numPr>
        <w:spacing w:before="40" w:after="40"/>
      </w:pPr>
      <w:r>
        <w:rPr>
          <w:color w:val="595959"/>
        </w:rPr>
        <w:t>Accurate, complete, and timely ACMC Issue Register and meeting documentation.</w:t>
      </w:r>
    </w:p>
    <w:p w14:paraId="3EE64DD3" w14:textId="77777777" w:rsidR="00824B93" w:rsidRDefault="00DC3163">
      <w:pPr>
        <w:pStyle w:val="ListParagraph"/>
        <w:numPr>
          <w:ilvl w:val="0"/>
          <w:numId w:val="2"/>
        </w:numPr>
        <w:spacing w:before="40" w:after="40"/>
      </w:pPr>
      <w:r>
        <w:rPr>
          <w:color w:val="595959"/>
        </w:rPr>
        <w:t>Well-prepared, on-time committee meetings with complete supporting materials.</w:t>
      </w:r>
    </w:p>
    <w:p w14:paraId="24447E02" w14:textId="77777777" w:rsidR="00824B93" w:rsidRDefault="00DC3163">
      <w:pPr>
        <w:pStyle w:val="ListParagraph"/>
        <w:numPr>
          <w:ilvl w:val="0"/>
          <w:numId w:val="2"/>
        </w:numPr>
        <w:spacing w:before="40" w:after="40"/>
      </w:pPr>
      <w:r>
        <w:rPr>
          <w:color w:val="595959"/>
        </w:rPr>
        <w:t>Positive feedback from committee members, volunteers, and Director on support quality.</w:t>
      </w:r>
    </w:p>
    <w:p w14:paraId="72A2CAD8" w14:textId="77777777" w:rsidR="00824B93" w:rsidRDefault="00DC3163">
      <w:pPr>
        <w:pStyle w:val="ListParagraph"/>
        <w:numPr>
          <w:ilvl w:val="0"/>
          <w:numId w:val="2"/>
        </w:numPr>
        <w:spacing w:before="40" w:after="40"/>
      </w:pPr>
      <w:r>
        <w:rPr>
          <w:color w:val="595959"/>
        </w:rPr>
        <w:t>Timely publication of ACMC reports and standards-related communications.</w:t>
      </w:r>
    </w:p>
    <w:p w14:paraId="6A4CC28B" w14:textId="77777777" w:rsidR="00824B93" w:rsidRDefault="00DC3163">
      <w:pPr>
        <w:pStyle w:val="ListParagraph"/>
        <w:numPr>
          <w:ilvl w:val="0"/>
          <w:numId w:val="2"/>
        </w:numPr>
        <w:spacing w:before="40" w:after="40"/>
      </w:pPr>
      <w:r>
        <w:rPr>
          <w:color w:val="595959"/>
        </w:rPr>
        <w:t>Maintained antitrust compliance across all Council and committee activities.</w:t>
      </w:r>
    </w:p>
    <w:p w14:paraId="1DD034ED" w14:textId="77777777" w:rsidR="00824B93" w:rsidRDefault="00DC3163">
      <w:pPr>
        <w:pBdr>
          <w:bottom w:val="single" w:sz="6" w:space="1" w:color="2E75B6"/>
        </w:pBdr>
        <w:spacing w:before="280" w:after="100"/>
      </w:pPr>
      <w:r>
        <w:rPr>
          <w:b/>
          <w:bCs/>
          <w:color w:val="1F4E79"/>
          <w:sz w:val="28"/>
          <w:szCs w:val="28"/>
        </w:rPr>
        <w:lastRenderedPageBreak/>
        <w:t>A Note on Antitrust &amp; Compliance</w:t>
      </w:r>
    </w:p>
    <w:p w14:paraId="578B2730" w14:textId="77777777" w:rsidR="00824B93" w:rsidRDefault="00DC3163">
      <w:pPr>
        <w:spacing w:before="60" w:after="60"/>
      </w:pPr>
      <w:r>
        <w:rPr>
          <w:color w:val="595959"/>
        </w:rPr>
        <w:t>Because this role supports consensus-based industry activities—including the ACMC Council—the Administrator must understand and uphold antitrust compliance requirements. You’ll help ensure every meeting opens with the required antitrust compliance statement, and that prohibited topics (pricing, wages, bid coordination, market allocation, and similar subjects) are never recorded, discussed, or facilitated. Training is provided—this is about having the right mindset for responsible industry governance.</w:t>
      </w:r>
    </w:p>
    <w:p w14:paraId="106B3408" w14:textId="77777777" w:rsidR="00824B93" w:rsidRDefault="00DC3163">
      <w:pPr>
        <w:pBdr>
          <w:bottom w:val="single" w:sz="6" w:space="1" w:color="2E75B6"/>
        </w:pBdr>
        <w:spacing w:before="280" w:after="100"/>
      </w:pPr>
      <w:r>
        <w:rPr>
          <w:b/>
          <w:bCs/>
          <w:color w:val="1F4E79"/>
          <w:sz w:val="28"/>
          <w:szCs w:val="28"/>
        </w:rPr>
        <w:t>How to Apply</w:t>
      </w:r>
    </w:p>
    <w:p w14:paraId="7BB7D757" w14:textId="77777777" w:rsidR="00824B93" w:rsidRDefault="00DC3163">
      <w:pPr>
        <w:spacing w:before="60" w:after="60"/>
      </w:pPr>
      <w:r>
        <w:rPr>
          <w:color w:val="595959"/>
        </w:rPr>
        <w:t>Send your resume and a brief cover letter telling us: what draws you to this role and one example of a time you kept a complex process on track when the stakes were high. Applications are accepted on a rolling basis and candidates will be reviewed as received.</w:t>
      </w:r>
    </w:p>
    <w:p w14:paraId="56CD2CE6" w14:textId="179E4488" w:rsidR="00824B93" w:rsidRDefault="00DC3163">
      <w:pPr>
        <w:spacing w:before="60" w:after="60"/>
      </w:pPr>
      <w:r>
        <w:rPr>
          <w:color w:val="595959"/>
        </w:rPr>
        <w:t xml:space="preserve">Submit applications to: </w:t>
      </w:r>
      <w:r w:rsidR="00C64EEB">
        <w:rPr>
          <w:i/>
          <w:color w:val="595959"/>
        </w:rPr>
        <w:t xml:space="preserve">XXXX </w:t>
      </w:r>
    </w:p>
    <w:p w14:paraId="18405CFB" w14:textId="77777777" w:rsidR="00824B93" w:rsidRDefault="00DC3163">
      <w:pPr>
        <w:spacing w:before="60" w:after="200"/>
      </w:pPr>
      <w:r>
        <w:rPr>
          <w:i/>
          <w:color w:val="595959"/>
        </w:rPr>
        <w:t>ISFA is an equal opportunity employer. We celebrate diverse perspectives and are committed to building an inclusive environment for all employees.</w:t>
      </w:r>
    </w:p>
    <w:sectPr w:rsidR="00824B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A034B"/>
    <w:multiLevelType w:val="hybridMultilevel"/>
    <w:tmpl w:val="F7A8779C"/>
    <w:lvl w:ilvl="0" w:tplc="26B204A2">
      <w:start w:val="1"/>
      <w:numFmt w:val="bullet"/>
      <w:lvlText w:val="•"/>
      <w:lvlJc w:val="left"/>
      <w:pPr>
        <w:ind w:left="720" w:hanging="360"/>
      </w:pPr>
    </w:lvl>
    <w:lvl w:ilvl="1" w:tplc="368AC46A">
      <w:numFmt w:val="decimal"/>
      <w:lvlText w:val=""/>
      <w:lvlJc w:val="left"/>
    </w:lvl>
    <w:lvl w:ilvl="2" w:tplc="A76C53BA">
      <w:numFmt w:val="decimal"/>
      <w:lvlText w:val=""/>
      <w:lvlJc w:val="left"/>
    </w:lvl>
    <w:lvl w:ilvl="3" w:tplc="898EB1BE">
      <w:numFmt w:val="decimal"/>
      <w:lvlText w:val=""/>
      <w:lvlJc w:val="left"/>
    </w:lvl>
    <w:lvl w:ilvl="4" w:tplc="59B049C2">
      <w:numFmt w:val="decimal"/>
      <w:lvlText w:val=""/>
      <w:lvlJc w:val="left"/>
    </w:lvl>
    <w:lvl w:ilvl="5" w:tplc="E77061C2">
      <w:numFmt w:val="decimal"/>
      <w:lvlText w:val=""/>
      <w:lvlJc w:val="left"/>
    </w:lvl>
    <w:lvl w:ilvl="6" w:tplc="D1DEEEFC">
      <w:numFmt w:val="decimal"/>
      <w:lvlText w:val=""/>
      <w:lvlJc w:val="left"/>
    </w:lvl>
    <w:lvl w:ilvl="7" w:tplc="BA8C2888">
      <w:numFmt w:val="decimal"/>
      <w:lvlText w:val=""/>
      <w:lvlJc w:val="left"/>
    </w:lvl>
    <w:lvl w:ilvl="8" w:tplc="56101130">
      <w:numFmt w:val="decimal"/>
      <w:lvlText w:val=""/>
      <w:lvlJc w:val="left"/>
    </w:lvl>
  </w:abstractNum>
  <w:abstractNum w:abstractNumId="1" w15:restartNumberingAfterBreak="0">
    <w:nsid w:val="74552945"/>
    <w:multiLevelType w:val="hybridMultilevel"/>
    <w:tmpl w:val="014AB2F8"/>
    <w:lvl w:ilvl="0" w:tplc="4BC05720">
      <w:start w:val="1"/>
      <w:numFmt w:val="bullet"/>
      <w:lvlText w:val="●"/>
      <w:lvlJc w:val="left"/>
      <w:pPr>
        <w:ind w:left="720" w:hanging="360"/>
      </w:pPr>
    </w:lvl>
    <w:lvl w:ilvl="1" w:tplc="BEDA44BE">
      <w:start w:val="1"/>
      <w:numFmt w:val="bullet"/>
      <w:lvlText w:val="○"/>
      <w:lvlJc w:val="left"/>
      <w:pPr>
        <w:ind w:left="1440" w:hanging="360"/>
      </w:pPr>
    </w:lvl>
    <w:lvl w:ilvl="2" w:tplc="9BC0A798">
      <w:start w:val="1"/>
      <w:numFmt w:val="bullet"/>
      <w:lvlText w:val="■"/>
      <w:lvlJc w:val="left"/>
      <w:pPr>
        <w:ind w:left="2160" w:hanging="360"/>
      </w:pPr>
    </w:lvl>
    <w:lvl w:ilvl="3" w:tplc="25F0D790">
      <w:start w:val="1"/>
      <w:numFmt w:val="bullet"/>
      <w:lvlText w:val="●"/>
      <w:lvlJc w:val="left"/>
      <w:pPr>
        <w:ind w:left="2880" w:hanging="360"/>
      </w:pPr>
    </w:lvl>
    <w:lvl w:ilvl="4" w:tplc="2C0C382A">
      <w:start w:val="1"/>
      <w:numFmt w:val="bullet"/>
      <w:lvlText w:val="○"/>
      <w:lvlJc w:val="left"/>
      <w:pPr>
        <w:ind w:left="3600" w:hanging="360"/>
      </w:pPr>
    </w:lvl>
    <w:lvl w:ilvl="5" w:tplc="36B2BF0A">
      <w:start w:val="1"/>
      <w:numFmt w:val="bullet"/>
      <w:lvlText w:val="■"/>
      <w:lvlJc w:val="left"/>
      <w:pPr>
        <w:ind w:left="4320" w:hanging="360"/>
      </w:pPr>
    </w:lvl>
    <w:lvl w:ilvl="6" w:tplc="5B8C6292">
      <w:start w:val="1"/>
      <w:numFmt w:val="bullet"/>
      <w:lvlText w:val="●"/>
      <w:lvlJc w:val="left"/>
      <w:pPr>
        <w:ind w:left="5040" w:hanging="360"/>
      </w:pPr>
    </w:lvl>
    <w:lvl w:ilvl="7" w:tplc="FDA4379A">
      <w:start w:val="1"/>
      <w:numFmt w:val="bullet"/>
      <w:lvlText w:val="●"/>
      <w:lvlJc w:val="left"/>
      <w:pPr>
        <w:ind w:left="5760" w:hanging="360"/>
      </w:pPr>
    </w:lvl>
    <w:lvl w:ilvl="8" w:tplc="5C2EC0FE">
      <w:start w:val="1"/>
      <w:numFmt w:val="bullet"/>
      <w:lvlText w:val="●"/>
      <w:lvlJc w:val="left"/>
      <w:pPr>
        <w:ind w:left="6480" w:hanging="360"/>
      </w:pPr>
    </w:lvl>
  </w:abstractNum>
  <w:num w:numId="1" w16cid:durableId="547883905">
    <w:abstractNumId w:val="1"/>
    <w:lvlOverride w:ilvl="0">
      <w:startOverride w:val="1"/>
    </w:lvlOverride>
  </w:num>
  <w:num w:numId="2" w16cid:durableId="1440372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CA7"/>
    <w:rsid w:val="002901E0"/>
    <w:rsid w:val="003E64E0"/>
    <w:rsid w:val="008079A1"/>
    <w:rsid w:val="00824B93"/>
    <w:rsid w:val="008C0485"/>
    <w:rsid w:val="008C7E93"/>
    <w:rsid w:val="008E0EEF"/>
    <w:rsid w:val="00A55412"/>
    <w:rsid w:val="00A666D2"/>
    <w:rsid w:val="00BA6CA7"/>
    <w:rsid w:val="00C64EEB"/>
    <w:rsid w:val="00DC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FDC8"/>
  <w15:docId w15:val="{BDDDEDFB-AC6F-4082-A881-F6B6B2A6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274C1EB418E4A80F5FEEB65C20F33" ma:contentTypeVersion="13" ma:contentTypeDescription="Create a new document." ma:contentTypeScope="" ma:versionID="2b0bdb89b71c08222121b9524f52e1b5">
  <xsd:schema xmlns:xsd="http://www.w3.org/2001/XMLSchema" xmlns:xs="http://www.w3.org/2001/XMLSchema" xmlns:p="http://schemas.microsoft.com/office/2006/metadata/properties" xmlns:ns2="6ced451d-ed52-492f-a300-884abed9c297" xmlns:ns3="fc0c9223-a30c-47e1-8347-db7cd01f9415" targetNamespace="http://schemas.microsoft.com/office/2006/metadata/properties" ma:root="true" ma:fieldsID="49ff4122615e581a0e0914c7a63912ae" ns2:_="" ns3:_="">
    <xsd:import namespace="6ced451d-ed52-492f-a300-884abed9c297"/>
    <xsd:import namespace="fc0c9223-a30c-47e1-8347-db7cd01f94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451d-ed52-492f-a300-884abed9c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7b8f20-8546-4611-b793-eebe8d6ab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0c9223-a30c-47e1-8347-db7cd01f94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1f1281-459b-4e16-b12c-65d537f898b3}" ma:internalName="TaxCatchAll" ma:showField="CatchAllData" ma:web="fc0c9223-a30c-47e1-8347-db7cd01f9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ed451d-ed52-492f-a300-884abed9c297">
      <Terms xmlns="http://schemas.microsoft.com/office/infopath/2007/PartnerControls"/>
    </lcf76f155ced4ddcb4097134ff3c332f>
    <TaxCatchAll xmlns="fc0c9223-a30c-47e1-8347-db7cd01f9415" xsi:nil="true"/>
  </documentManagement>
</p:properties>
</file>

<file path=customXml/itemProps1.xml><?xml version="1.0" encoding="utf-8"?>
<ds:datastoreItem xmlns:ds="http://schemas.openxmlformats.org/officeDocument/2006/customXml" ds:itemID="{CF3D155B-2A7F-4C65-A544-9C84AEB19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451d-ed52-492f-a300-884abed9c297"/>
    <ds:schemaRef ds:uri="fc0c9223-a30c-47e1-8347-db7cd01f9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D283B-2DEA-47D1-9C34-9AB9DFB65CE3}">
  <ds:schemaRefs>
    <ds:schemaRef ds:uri="http://schemas.microsoft.com/sharepoint/v3/contenttype/forms"/>
  </ds:schemaRefs>
</ds:datastoreItem>
</file>

<file path=customXml/itemProps3.xml><?xml version="1.0" encoding="utf-8"?>
<ds:datastoreItem xmlns:ds="http://schemas.openxmlformats.org/officeDocument/2006/customXml" ds:itemID="{5F1F04D2-0679-4D46-9002-B6D47EF527F7}">
  <ds:schemaRefs>
    <ds:schemaRef ds:uri="http://schemas.microsoft.com/office/2006/metadata/properties"/>
    <ds:schemaRef ds:uri="http://schemas.microsoft.com/office/infopath/2007/PartnerControls"/>
    <ds:schemaRef ds:uri="6ced451d-ed52-492f-a300-884abed9c297"/>
    <ds:schemaRef ds:uri="fc0c9223-a30c-47e1-8347-db7cd01f94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994</Words>
  <Characters>6737</Characters>
  <Application>Microsoft Office Word</Application>
  <DocSecurity>0</DocSecurity>
  <Lines>132</Lines>
  <Paragraphs>101</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Corona</cp:lastModifiedBy>
  <cp:revision>2</cp:revision>
  <dcterms:created xsi:type="dcterms:W3CDTF">2026-05-07T12:47:00Z</dcterms:created>
  <dcterms:modified xsi:type="dcterms:W3CDTF">2026-05-07T12:47:00Z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0x010100BB7274C1EB418E4A80F5FEEB65C20F33</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7042872b-f2dd-42d2-b5c5-a3bc3b2a7dc6</vt:lpwstr>
  </property>
</Properties>
</file>