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2779DC">
        <w:rPr>
          <w:rFonts w:ascii="Arial Narrow" w:hAnsi="Arial Narrow"/>
          <w:sz w:val="20"/>
          <w:szCs w:val="20"/>
        </w:rPr>
        <w:t xml:space="preserve">  </w:t>
      </w:r>
      <w:r w:rsidR="000465B1">
        <w:rPr>
          <w:rFonts w:ascii="Arial Narrow" w:hAnsi="Arial Narrow"/>
          <w:sz w:val="20"/>
          <w:szCs w:val="20"/>
        </w:rPr>
        <w:t xml:space="preserve">Program Assistant – </w:t>
      </w:r>
      <w:r w:rsidR="00492A2E">
        <w:rPr>
          <w:rFonts w:ascii="Arial Narrow" w:hAnsi="Arial Narrow"/>
          <w:sz w:val="20"/>
          <w:szCs w:val="20"/>
        </w:rPr>
        <w:t>World Languages</w:t>
      </w:r>
    </w:p>
    <w:p w:rsidR="0036650C" w:rsidRDefault="0036650C" w:rsidP="00BC66F8">
      <w:pPr>
        <w:rPr>
          <w:rFonts w:ascii="Arial Narrow" w:hAnsi="Arial Narrow"/>
          <w:sz w:val="20"/>
          <w:szCs w:val="20"/>
        </w:rPr>
      </w:pPr>
    </w:p>
    <w:p w:rsidR="000465B1" w:rsidRDefault="00BC66F8" w:rsidP="000465B1">
      <w:pPr>
        <w:spacing w:after="120"/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 w:rsidRPr="000465B1">
        <w:rPr>
          <w:rFonts w:ascii="Arial Narrow" w:hAnsi="Arial Narrow"/>
          <w:sz w:val="20"/>
          <w:szCs w:val="20"/>
        </w:rPr>
        <w:t>:</w:t>
      </w:r>
      <w:r w:rsidR="001954D0" w:rsidRPr="000465B1">
        <w:rPr>
          <w:rFonts w:ascii="Arial Narrow" w:hAnsi="Arial Narrow"/>
          <w:sz w:val="20"/>
          <w:szCs w:val="20"/>
        </w:rPr>
        <w:t xml:space="preserve"> </w:t>
      </w:r>
      <w:r w:rsidR="000465B1" w:rsidRPr="000465B1">
        <w:rPr>
          <w:rFonts w:ascii="Arial Narrow" w:hAnsi="Arial Narrow"/>
          <w:sz w:val="20"/>
          <w:szCs w:val="20"/>
        </w:rPr>
        <w:t xml:space="preserve">The responsibility of the </w:t>
      </w:r>
      <w:r w:rsidR="00492A2E">
        <w:rPr>
          <w:rFonts w:ascii="Arial Narrow" w:hAnsi="Arial Narrow"/>
          <w:sz w:val="20"/>
          <w:szCs w:val="20"/>
        </w:rPr>
        <w:t>World Languages</w:t>
      </w:r>
      <w:r w:rsidR="000465B1" w:rsidRPr="000465B1">
        <w:rPr>
          <w:rFonts w:ascii="Arial Narrow" w:hAnsi="Arial Narrow"/>
          <w:sz w:val="20"/>
          <w:szCs w:val="20"/>
        </w:rPr>
        <w:t xml:space="preserve"> Program Assistant is to work closely with staff in assisting to achieve individual student academic and personal objectives in order to become responsible and successful adults.</w:t>
      </w:r>
      <w:bookmarkStart w:id="0" w:name="_GoBack"/>
      <w:bookmarkEnd w:id="0"/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E5464F">
        <w:rPr>
          <w:rFonts w:ascii="Arial Narrow" w:hAnsi="Arial Narrow"/>
          <w:sz w:val="20"/>
          <w:szCs w:val="20"/>
        </w:rPr>
        <w:t>(Other duties and responsibilities may be assigned</w:t>
      </w:r>
      <w:r w:rsidR="00286CC5">
        <w:rPr>
          <w:rFonts w:ascii="Arial Narrow" w:hAnsi="Arial Narrow"/>
          <w:sz w:val="20"/>
          <w:szCs w:val="20"/>
        </w:rPr>
        <w:t>.</w:t>
      </w:r>
      <w:r w:rsidR="00E5464F">
        <w:rPr>
          <w:rFonts w:ascii="Arial Narrow" w:hAnsi="Arial Narrow"/>
          <w:sz w:val="20"/>
          <w:szCs w:val="20"/>
        </w:rPr>
        <w:t>)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>Assist educators in implementing classroom/computer lab goals and objectives.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>Collaborate with educators and case managers for student evaluations.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 xml:space="preserve">Assist individual students within regular classes, study hall, study periods and those who attend the Academic Skills Center as needed. 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>Monito</w:t>
      </w:r>
      <w:r w:rsidR="004F7F3E">
        <w:rPr>
          <w:rFonts w:ascii="Arial Narrow" w:eastAsia="Calibri" w:hAnsi="Arial Narrow" w:cs="Times New Roman"/>
          <w:sz w:val="20"/>
          <w:szCs w:val="20"/>
        </w:rPr>
        <w:t>r students’ homework completion.</w:t>
      </w:r>
    </w:p>
    <w:p w:rsidR="000465B1" w:rsidRPr="000465B1" w:rsidRDefault="00286CC5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Observe and monitor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 xml:space="preserve"> students</w:t>
      </w:r>
      <w:r w:rsidR="00EB3EEC">
        <w:rPr>
          <w:rFonts w:ascii="Arial Narrow" w:eastAsia="Calibri" w:hAnsi="Arial Narrow" w:cs="Times New Roman"/>
          <w:sz w:val="20"/>
          <w:szCs w:val="20"/>
        </w:rPr>
        <w:t>’</w:t>
      </w:r>
      <w:r>
        <w:rPr>
          <w:rFonts w:ascii="Arial Narrow" w:eastAsia="Calibri" w:hAnsi="Arial Narrow" w:cs="Times New Roman"/>
          <w:sz w:val="20"/>
          <w:szCs w:val="20"/>
        </w:rPr>
        <w:t xml:space="preserve"> behavior then report and advise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 xml:space="preserve"> instructors on the issues at hand. </w:t>
      </w:r>
    </w:p>
    <w:p w:rsidR="000465B1" w:rsidRPr="000465B1" w:rsidRDefault="00286CC5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Translate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 xml:space="preserve"> materials used specifically for classroom instruction.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 xml:space="preserve">Assists the </w:t>
      </w:r>
      <w:r w:rsidR="00043F5A">
        <w:rPr>
          <w:rFonts w:ascii="Arial Narrow" w:eastAsia="Calibri" w:hAnsi="Arial Narrow" w:cs="Times New Roman"/>
          <w:sz w:val="20"/>
          <w:szCs w:val="20"/>
        </w:rPr>
        <w:t>Clerk – World Languages</w:t>
      </w:r>
      <w:r w:rsidRPr="000465B1">
        <w:rPr>
          <w:rFonts w:ascii="Arial Narrow" w:eastAsia="Calibri" w:hAnsi="Arial Narrow" w:cs="Times New Roman"/>
          <w:sz w:val="20"/>
          <w:szCs w:val="20"/>
        </w:rPr>
        <w:t xml:space="preserve"> as assigned by the Director of </w:t>
      </w:r>
      <w:r w:rsidR="00286CC5">
        <w:rPr>
          <w:rFonts w:ascii="Arial Narrow" w:eastAsia="Calibri" w:hAnsi="Arial Narrow" w:cs="Times New Roman"/>
          <w:sz w:val="20"/>
          <w:szCs w:val="20"/>
        </w:rPr>
        <w:t>the Bilingual Education Program</w:t>
      </w:r>
      <w:r w:rsidR="00292E43">
        <w:rPr>
          <w:rFonts w:ascii="Arial Narrow" w:eastAsia="Calibri" w:hAnsi="Arial Narrow" w:cs="Times New Roman"/>
          <w:sz w:val="20"/>
          <w:szCs w:val="20"/>
        </w:rPr>
        <w:t>/World Languages Division Head</w:t>
      </w:r>
      <w:r w:rsidR="00286CC5">
        <w:rPr>
          <w:rFonts w:ascii="Arial Narrow" w:eastAsia="Calibri" w:hAnsi="Arial Narrow" w:cs="Times New Roman"/>
          <w:sz w:val="20"/>
          <w:szCs w:val="20"/>
        </w:rPr>
        <w:t>.</w:t>
      </w:r>
    </w:p>
    <w:p w:rsidR="000465B1" w:rsidRPr="000465B1" w:rsidRDefault="00286CC5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Interpret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 xml:space="preserve"> for </w:t>
      </w:r>
      <w:r w:rsidR="00292E43">
        <w:rPr>
          <w:rFonts w:ascii="Arial Narrow" w:eastAsia="Calibri" w:hAnsi="Arial Narrow" w:cs="Times New Roman"/>
          <w:sz w:val="20"/>
          <w:szCs w:val="20"/>
        </w:rPr>
        <w:t xml:space="preserve">ESL Bilingual 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>staff during the school day including student reviews, phone calls, etc.</w:t>
      </w:r>
    </w:p>
    <w:p w:rsidR="000465B1" w:rsidRPr="000465B1" w:rsidRDefault="00286CC5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Interpret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 xml:space="preserve"> for fall and spring parent conferences</w:t>
      </w:r>
      <w:r w:rsidR="004F7F3E">
        <w:rPr>
          <w:rFonts w:ascii="Arial Narrow" w:eastAsia="Calibri" w:hAnsi="Arial Narrow" w:cs="Times New Roman"/>
          <w:sz w:val="20"/>
          <w:szCs w:val="20"/>
        </w:rPr>
        <w:t>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1476A4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1476A4">
        <w:rPr>
          <w:rFonts w:ascii="Arial Narrow" w:hAnsi="Arial Narrow"/>
          <w:sz w:val="20"/>
          <w:szCs w:val="20"/>
        </w:rPr>
        <w:t>None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0465B1" w:rsidRPr="00C05462" w:rsidRDefault="00C05462" w:rsidP="00C05462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ISBE teaching certificate or paraprofessional letter of approval</w:t>
      </w:r>
    </w:p>
    <w:p w:rsidR="000465B1" w:rsidRPr="00C05462" w:rsidRDefault="000465B1" w:rsidP="00C05462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C05462">
        <w:rPr>
          <w:rFonts w:ascii="Arial Narrow" w:hAnsi="Arial Narrow"/>
          <w:sz w:val="20"/>
          <w:szCs w:val="20"/>
        </w:rPr>
        <w:t>Possess adequate content knowledge to assist high school level students with their coursework.</w:t>
      </w: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</w:p>
    <w:p w:rsidR="0036650C" w:rsidRPr="0036650C" w:rsidRDefault="0036650C" w:rsidP="0036650C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C05462" w:rsidRDefault="00C05462" w:rsidP="00C0546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Spanish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68754D" w:rsidRPr="004B7FB4" w:rsidRDefault="0068754D" w:rsidP="0068754D">
      <w:pPr>
        <w:numPr>
          <w:ilvl w:val="0"/>
          <w:numId w:val="3"/>
        </w:numPr>
        <w:spacing w:after="120"/>
        <w:rPr>
          <w:rFonts w:ascii="Arial Narrow" w:hAnsi="Arial Narrow"/>
          <w:sz w:val="20"/>
          <w:szCs w:val="20"/>
        </w:rPr>
      </w:pPr>
      <w:r w:rsidRPr="004B7FB4">
        <w:rPr>
          <w:rFonts w:ascii="Arial Narrow" w:hAnsi="Arial Narrow"/>
          <w:sz w:val="20"/>
          <w:szCs w:val="20"/>
        </w:rPr>
        <w:t>Ability to work independently, stay on task, multi-task, and take responsibility to complete assigned projects and duties in a timely and efficient manner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41"/>
        <w:gridCol w:w="344"/>
        <w:gridCol w:w="2064"/>
        <w:gridCol w:w="344"/>
        <w:gridCol w:w="1960"/>
        <w:gridCol w:w="359"/>
        <w:gridCol w:w="1698"/>
        <w:gridCol w:w="326"/>
        <w:gridCol w:w="1336"/>
        <w:gridCol w:w="326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292E4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292E4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Pr="006C564C" w:rsidRDefault="00BC66F8" w:rsidP="00BC66F8">
      <w:pPr>
        <w:rPr>
          <w:rFonts w:ascii="Arial Narrow" w:hAnsi="Arial Narrow"/>
          <w:b/>
          <w:sz w:val="20"/>
          <w:szCs w:val="20"/>
        </w:rPr>
      </w:pPr>
      <w:r w:rsidRPr="006C564C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 w:rsidRPr="006C564C">
        <w:rPr>
          <w:rFonts w:ascii="Arial Narrow" w:hAnsi="Arial Narrow"/>
          <w:b/>
          <w:sz w:val="20"/>
          <w:szCs w:val="20"/>
        </w:rPr>
        <w:t>:</w:t>
      </w:r>
    </w:p>
    <w:p w:rsidR="001954D0" w:rsidRPr="00B1504A" w:rsidRDefault="001954D0" w:rsidP="001954D0">
      <w:pPr>
        <w:ind w:left="720"/>
        <w:rPr>
          <w:rFonts w:ascii="Arial Narrow" w:hAnsi="Arial Narrow"/>
          <w:sz w:val="20"/>
          <w:szCs w:val="20"/>
        </w:rPr>
      </w:pPr>
      <w:r w:rsidRPr="00B1504A">
        <w:rPr>
          <w:rFonts w:ascii="Arial Narrow" w:hAnsi="Arial Narrow"/>
          <w:sz w:val="20"/>
          <w:szCs w:val="20"/>
        </w:rPr>
        <w:t xml:space="preserve">Annual Calendar: </w:t>
      </w:r>
      <w:r w:rsidR="0036650C" w:rsidRPr="00B1504A">
        <w:rPr>
          <w:rFonts w:ascii="Arial Narrow" w:hAnsi="Arial Narrow"/>
          <w:sz w:val="20"/>
          <w:szCs w:val="20"/>
        </w:rPr>
        <w:tab/>
      </w:r>
      <w:r w:rsidR="00B1504A" w:rsidRPr="00B1504A">
        <w:rPr>
          <w:rFonts w:ascii="Arial Narrow" w:hAnsi="Arial Narrow"/>
          <w:sz w:val="20"/>
          <w:szCs w:val="20"/>
        </w:rPr>
        <w:t>191 Day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0465B1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0465B1">
        <w:rPr>
          <w:rFonts w:ascii="Arial Narrow" w:hAnsi="Arial Narrow"/>
          <w:sz w:val="20"/>
          <w:szCs w:val="20"/>
        </w:rPr>
        <w:t>Division Head of World Languages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0465B1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0465B1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Non-Exempt from overtime under the Fair Labor Standards Act</w:t>
      </w:r>
    </w:p>
    <w:p w:rsidR="00BC66F8" w:rsidRPr="00BC66F8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B1" w:rsidRDefault="000465B1" w:rsidP="00BC66F8">
      <w:r>
        <w:separator/>
      </w:r>
    </w:p>
  </w:endnote>
  <w:endnote w:type="continuationSeparator" w:id="0">
    <w:p w:rsidR="000465B1" w:rsidRDefault="000465B1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B1" w:rsidRDefault="000465B1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0465B1" w:rsidRPr="00443C71" w:rsidRDefault="000465B1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</w:t>
    </w:r>
    <w:r>
      <w:rPr>
        <w:rFonts w:ascii="Arial Narrow" w:hAnsi="Arial Narrow"/>
        <w:sz w:val="16"/>
        <w:szCs w:val="16"/>
      </w:rPr>
      <w:t xml:space="preserve">: </w:t>
    </w:r>
    <w:r w:rsidR="004F7F3E">
      <w:rPr>
        <w:rFonts w:ascii="Arial Narrow" w:hAnsi="Arial Narrow"/>
        <w:sz w:val="16"/>
        <w:szCs w:val="16"/>
      </w:rPr>
      <w:t>March, 2012</w:t>
    </w:r>
  </w:p>
  <w:p w:rsidR="000465B1" w:rsidRPr="00443C71" w:rsidRDefault="000465B1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EE7758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EE7758" w:rsidRPr="00443C71">
      <w:rPr>
        <w:rFonts w:ascii="Arial Narrow" w:hAnsi="Arial Narrow"/>
        <w:sz w:val="16"/>
        <w:szCs w:val="16"/>
      </w:rPr>
      <w:fldChar w:fldCharType="separate"/>
    </w:r>
    <w:r w:rsidR="00492A2E">
      <w:rPr>
        <w:rFonts w:ascii="Arial Narrow" w:hAnsi="Arial Narrow"/>
        <w:noProof/>
        <w:sz w:val="16"/>
        <w:szCs w:val="16"/>
      </w:rPr>
      <w:t>1</w:t>
    </w:r>
    <w:r w:rsidR="00EE7758" w:rsidRPr="00443C71">
      <w:rPr>
        <w:rFonts w:ascii="Arial Narrow" w:hAnsi="Arial Narrow"/>
        <w:sz w:val="16"/>
        <w:szCs w:val="16"/>
      </w:rPr>
      <w:fldChar w:fldCharType="end"/>
    </w:r>
  </w:p>
  <w:p w:rsidR="000465B1" w:rsidRDefault="00046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B1" w:rsidRDefault="000465B1" w:rsidP="00BC66F8">
      <w:r>
        <w:separator/>
      </w:r>
    </w:p>
  </w:footnote>
  <w:footnote w:type="continuationSeparator" w:id="0">
    <w:p w:rsidR="000465B1" w:rsidRDefault="000465B1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B1" w:rsidRPr="005D4B16" w:rsidRDefault="000465B1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0465B1" w:rsidRDefault="000465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C23"/>
    <w:multiLevelType w:val="hybridMultilevel"/>
    <w:tmpl w:val="9F56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0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680AF4"/>
    <w:multiLevelType w:val="hybridMultilevel"/>
    <w:tmpl w:val="CFC0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835C4"/>
    <w:multiLevelType w:val="multilevel"/>
    <w:tmpl w:val="9D206958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43F5A"/>
    <w:rsid w:val="000465B1"/>
    <w:rsid w:val="000A0BDB"/>
    <w:rsid w:val="00125B04"/>
    <w:rsid w:val="001476A4"/>
    <w:rsid w:val="001675C3"/>
    <w:rsid w:val="001954D0"/>
    <w:rsid w:val="001F2721"/>
    <w:rsid w:val="002779DC"/>
    <w:rsid w:val="00286CC5"/>
    <w:rsid w:val="00292E43"/>
    <w:rsid w:val="002C37A9"/>
    <w:rsid w:val="00345ECE"/>
    <w:rsid w:val="0036650C"/>
    <w:rsid w:val="00443C71"/>
    <w:rsid w:val="00492A2E"/>
    <w:rsid w:val="004B5942"/>
    <w:rsid w:val="004F690D"/>
    <w:rsid w:val="004F7F3E"/>
    <w:rsid w:val="005D4B16"/>
    <w:rsid w:val="006429DD"/>
    <w:rsid w:val="0068754D"/>
    <w:rsid w:val="0069240A"/>
    <w:rsid w:val="006C564C"/>
    <w:rsid w:val="006D448F"/>
    <w:rsid w:val="007145C1"/>
    <w:rsid w:val="00780ADE"/>
    <w:rsid w:val="00862095"/>
    <w:rsid w:val="00903DFD"/>
    <w:rsid w:val="00907F9E"/>
    <w:rsid w:val="00942963"/>
    <w:rsid w:val="009638C9"/>
    <w:rsid w:val="00987363"/>
    <w:rsid w:val="009950AD"/>
    <w:rsid w:val="00A44D47"/>
    <w:rsid w:val="00AD0680"/>
    <w:rsid w:val="00AE0CB4"/>
    <w:rsid w:val="00B1504A"/>
    <w:rsid w:val="00BA452D"/>
    <w:rsid w:val="00BC66F8"/>
    <w:rsid w:val="00BF4051"/>
    <w:rsid w:val="00C05462"/>
    <w:rsid w:val="00CB5B37"/>
    <w:rsid w:val="00E21192"/>
    <w:rsid w:val="00E3067B"/>
    <w:rsid w:val="00E3529A"/>
    <w:rsid w:val="00E5464F"/>
    <w:rsid w:val="00EB3EEC"/>
    <w:rsid w:val="00EE7758"/>
    <w:rsid w:val="00F1441A"/>
    <w:rsid w:val="00F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E0BB-0FC7-400A-848D-60D35071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4</cp:revision>
  <cp:lastPrinted>2011-03-31T15:56:00Z</cp:lastPrinted>
  <dcterms:created xsi:type="dcterms:W3CDTF">2012-03-27T20:45:00Z</dcterms:created>
  <dcterms:modified xsi:type="dcterms:W3CDTF">2012-04-05T16:32:00Z</dcterms:modified>
</cp:coreProperties>
</file>