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B894" w14:textId="4A6B759B" w:rsidR="00626E4B" w:rsidRPr="00C53137" w:rsidRDefault="00626E4B" w:rsidP="00626E4B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color w:val="0000CC"/>
          <w:sz w:val="36"/>
          <w:szCs w:val="36"/>
        </w:rPr>
      </w:pPr>
      <w:r w:rsidRPr="00C07AD5">
        <w:rPr>
          <w:rFonts w:ascii="Tahoma" w:hAnsi="Tahoma" w:cs="Tahoma"/>
          <w:b/>
          <w:bCs/>
          <w:noProof/>
          <w:color w:val="0000CC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37B822" wp14:editId="20C70D64">
                <wp:simplePos x="0" y="0"/>
                <wp:positionH relativeFrom="column">
                  <wp:posOffset>2219325</wp:posOffset>
                </wp:positionH>
                <wp:positionV relativeFrom="paragraph">
                  <wp:posOffset>-419100</wp:posOffset>
                </wp:positionV>
                <wp:extent cx="4453890" cy="285750"/>
                <wp:effectExtent l="0" t="0" r="22860" b="19050"/>
                <wp:wrapNone/>
                <wp:docPr id="11754211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234C" w14:textId="1BB26569" w:rsidR="00626E4B" w:rsidRPr="00C53137" w:rsidRDefault="00C07AD5" w:rsidP="00626E4B">
                            <w:pPr>
                              <w:pStyle w:val="Title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7AD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1-6.7 Financial / Management Publications &amp;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B8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.75pt;margin-top:-33pt;width:350.7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">
                <v:textbox>
                  <w:txbxContent>
                    <w:p w14:paraId="07EC234C" w14:textId="1BB26569" w:rsidR="00626E4B" w:rsidRPr="00C53137" w:rsidRDefault="00C07AD5" w:rsidP="00626E4B">
                      <w:pPr>
                        <w:pStyle w:val="Title"/>
                        <w:jc w:val="right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C07AD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1-6.7 Financial / Management Publications &amp; Information</w:t>
                      </w:r>
                    </w:p>
                  </w:txbxContent>
                </v:textbox>
              </v:shape>
            </w:pict>
          </mc:Fallback>
        </mc:AlternateContent>
      </w:r>
      <w:r w:rsidR="00C07AD5" w:rsidRPr="00C07AD5">
        <w:rPr>
          <w:rFonts w:ascii="Tahoma" w:hAnsi="Tahoma" w:cs="Tahoma"/>
          <w:b/>
          <w:bCs/>
          <w:color w:val="0000CC"/>
          <w:sz w:val="36"/>
          <w:szCs w:val="36"/>
        </w:rPr>
        <w:t xml:space="preserve">Financial / Management </w:t>
      </w:r>
      <w:r w:rsidRPr="00C53137">
        <w:rPr>
          <w:rFonts w:ascii="Tahoma" w:hAnsi="Tahoma" w:cs="Tahoma"/>
          <w:b/>
          <w:bCs/>
          <w:color w:val="0000CC"/>
          <w:sz w:val="36"/>
          <w:szCs w:val="36"/>
        </w:rPr>
        <w:t>Information &amp; Publications</w:t>
      </w:r>
    </w:p>
    <w:p w14:paraId="1BA8B8C8" w14:textId="77777777" w:rsidR="00ED7801" w:rsidRDefault="00ED7801" w:rsidP="00ED7801">
      <w:pPr>
        <w:rPr>
          <w:b/>
          <w:bCs/>
          <w:color w:val="0000CC"/>
          <w:sz w:val="28"/>
          <w:szCs w:val="28"/>
        </w:rPr>
      </w:pPr>
      <w:bookmarkStart w:id="0" w:name="_Hlk188113784"/>
      <w:bookmarkStart w:id="1" w:name="_Hlk188113150"/>
      <w:r w:rsidRPr="00042CB7">
        <w:rPr>
          <w:b/>
          <w:bCs/>
          <w:color w:val="0000CC"/>
          <w:sz w:val="28"/>
          <w:szCs w:val="28"/>
        </w:rPr>
        <w:t>Effective Utility Management</w:t>
      </w:r>
      <w:r>
        <w:rPr>
          <w:b/>
          <w:bCs/>
          <w:color w:val="0000CC"/>
          <w:sz w:val="28"/>
          <w:szCs w:val="28"/>
        </w:rPr>
        <w:t xml:space="preserve"> (EUM)</w:t>
      </w:r>
    </w:p>
    <w:p w14:paraId="363FD62B" w14:textId="77777777" w:rsidR="00384D6F" w:rsidRDefault="00ED7801" w:rsidP="00ED7801">
      <w:pPr>
        <w:ind w:left="720"/>
      </w:pPr>
      <w:r w:rsidRPr="00401BD4">
        <w:t>Effective Utility Management (EUM)</w:t>
      </w:r>
      <w:r>
        <w:t xml:space="preserve"> </w:t>
      </w:r>
      <w:r w:rsidRPr="00401BD4">
        <w:t xml:space="preserve">is designed to help water sector utility managers make informed decisions and </w:t>
      </w:r>
      <w:proofErr w:type="gramStart"/>
      <w:r w:rsidRPr="00401BD4">
        <w:t>practical,</w:t>
      </w:r>
      <w:proofErr w:type="gramEnd"/>
      <w:r w:rsidRPr="00401BD4">
        <w:t xml:space="preserve"> systematic changes to achieve excellence in utility performance in the face of everyday challenges and long-term needs for the utility and the community it serves. It was produced by utility leaders who are committed to helping all utilities improve their management. The </w:t>
      </w:r>
      <w:r w:rsidRPr="00401BD4">
        <w:rPr>
          <w:i/>
          <w:iCs/>
        </w:rPr>
        <w:t xml:space="preserve">Primer </w:t>
      </w:r>
      <w:r w:rsidRPr="00401BD4">
        <w:t xml:space="preserve">distills the expertise and experience of these water sector leaders into a framework intended to help utilities identify and address their most pressing needs through an incremental, continual improvement management approach. </w:t>
      </w:r>
    </w:p>
    <w:p w14:paraId="25598060" w14:textId="0192776A" w:rsidR="00195918" w:rsidRDefault="00195918" w:rsidP="00195918">
      <w:pPr>
        <w:numPr>
          <w:ilvl w:val="0"/>
          <w:numId w:val="1"/>
        </w:numPr>
        <w:tabs>
          <w:tab w:val="right" w:pos="1080"/>
          <w:tab w:val="right" w:leader="dot" w:pos="10080"/>
        </w:tabs>
        <w:spacing w:after="0" w:line="240" w:lineRule="auto"/>
        <w:ind w:left="720" w:firstLine="0"/>
      </w:pPr>
      <w:r w:rsidRPr="00195918">
        <w:t>Effective Utility Management (EUM)</w:t>
      </w:r>
      <w:r>
        <w:t xml:space="preserve"> Primer EPA</w:t>
      </w:r>
      <w:r>
        <w:tab/>
        <w:t>1-6.7a</w:t>
      </w:r>
    </w:p>
    <w:p w14:paraId="58EC2C76" w14:textId="77777777" w:rsidR="00195918" w:rsidRDefault="00195918" w:rsidP="00195918">
      <w:pPr>
        <w:tabs>
          <w:tab w:val="right" w:leader="dot" w:pos="10080"/>
        </w:tabs>
        <w:spacing w:line="240" w:lineRule="auto"/>
        <w:ind w:left="720"/>
        <w:jc w:val="right"/>
      </w:pPr>
      <w:hyperlink r:id="rId5" w:history="1">
        <w:r w:rsidRPr="00ED1DEC">
          <w:rPr>
            <w:rStyle w:val="Hyperlink"/>
          </w:rPr>
          <w:t>www.epa.gov/system/files/documents/2024-08/eum-primer.pdf</w:t>
        </w:r>
      </w:hyperlink>
      <w:r w:rsidR="00ED7801" w:rsidRPr="00195918">
        <w:t xml:space="preserve"> </w:t>
      </w:r>
    </w:p>
    <w:p w14:paraId="32C58DF3" w14:textId="7A469651" w:rsidR="00ED7801" w:rsidRDefault="003C54E7" w:rsidP="00195918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r w:rsidRPr="003C54E7">
        <w:t>Effective Water Utility Management Practices</w:t>
      </w:r>
      <w:r w:rsidR="00195918" w:rsidRPr="00195918">
        <w:tab/>
      </w:r>
      <w:hyperlink r:id="rId6" w:history="1">
        <w:r w:rsidRPr="00ED1DEC">
          <w:rPr>
            <w:rStyle w:val="Hyperlink"/>
          </w:rPr>
          <w:t>https://www.epa.gov/sustainable-water-infrastructure/effective-water-utility-management-practices</w:t>
        </w:r>
      </w:hyperlink>
    </w:p>
    <w:p w14:paraId="27929092" w14:textId="2CDCC7A4" w:rsidR="00377BF9" w:rsidRPr="00195918" w:rsidRDefault="00377BF9" w:rsidP="00195918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bookmarkStart w:id="2" w:name="_Hlk188113891"/>
      <w:bookmarkStart w:id="3" w:name="_Hlk188113845"/>
      <w:bookmarkEnd w:id="0"/>
      <w:r w:rsidRPr="00195918">
        <w:t>Utility Management Certification</w:t>
      </w:r>
      <w:r w:rsidR="00195918">
        <w:tab/>
      </w:r>
      <w:proofErr w:type="gramStart"/>
      <w:r w:rsidR="00195918">
        <w:t>Link to</w:t>
      </w:r>
      <w:proofErr w:type="gramEnd"/>
      <w:r w:rsidR="00195918">
        <w:t xml:space="preserve"> </w:t>
      </w:r>
      <w:r w:rsidR="00195918" w:rsidRPr="00195918">
        <w:t>3-3</w:t>
      </w:r>
    </w:p>
    <w:p w14:paraId="5FE36D15" w14:textId="2CBEB750" w:rsidR="00ED7801" w:rsidRPr="00042CB7" w:rsidRDefault="00ED7801" w:rsidP="00ED7801">
      <w:pPr>
        <w:rPr>
          <w:b/>
          <w:bCs/>
          <w:color w:val="0000CC"/>
          <w:sz w:val="28"/>
          <w:szCs w:val="28"/>
        </w:rPr>
      </w:pPr>
      <w:r w:rsidRPr="00042CB7">
        <w:rPr>
          <w:b/>
          <w:bCs/>
          <w:color w:val="0000CC"/>
          <w:sz w:val="28"/>
          <w:szCs w:val="28"/>
        </w:rPr>
        <w:t>Technical</w:t>
      </w:r>
      <w:r>
        <w:rPr>
          <w:b/>
          <w:bCs/>
          <w:color w:val="0000CC"/>
          <w:sz w:val="28"/>
          <w:szCs w:val="28"/>
        </w:rPr>
        <w:t>,</w:t>
      </w:r>
      <w:r w:rsidRPr="00042CB7">
        <w:rPr>
          <w:b/>
          <w:bCs/>
          <w:color w:val="0000CC"/>
          <w:sz w:val="28"/>
          <w:szCs w:val="28"/>
        </w:rPr>
        <w:t xml:space="preserve"> M</w:t>
      </w:r>
      <w:r>
        <w:rPr>
          <w:b/>
          <w:bCs/>
          <w:color w:val="0000CC"/>
          <w:sz w:val="28"/>
          <w:szCs w:val="28"/>
        </w:rPr>
        <w:t>ana</w:t>
      </w:r>
      <w:r w:rsidRPr="00042CB7">
        <w:rPr>
          <w:b/>
          <w:bCs/>
          <w:color w:val="0000CC"/>
          <w:sz w:val="28"/>
          <w:szCs w:val="28"/>
        </w:rPr>
        <w:t>g</w:t>
      </w:r>
      <w:r>
        <w:rPr>
          <w:b/>
          <w:bCs/>
          <w:color w:val="0000CC"/>
          <w:sz w:val="28"/>
          <w:szCs w:val="28"/>
        </w:rPr>
        <w:t>e</w:t>
      </w:r>
      <w:r w:rsidRPr="00042CB7">
        <w:rPr>
          <w:b/>
          <w:bCs/>
          <w:color w:val="0000CC"/>
          <w:sz w:val="28"/>
          <w:szCs w:val="28"/>
        </w:rPr>
        <w:t>m</w:t>
      </w:r>
      <w:r>
        <w:rPr>
          <w:b/>
          <w:bCs/>
          <w:color w:val="0000CC"/>
          <w:sz w:val="28"/>
          <w:szCs w:val="28"/>
        </w:rPr>
        <w:t>en</w:t>
      </w:r>
      <w:r w:rsidRPr="00042CB7">
        <w:rPr>
          <w:b/>
          <w:bCs/>
          <w:color w:val="0000CC"/>
          <w:sz w:val="28"/>
          <w:szCs w:val="28"/>
        </w:rPr>
        <w:t>t</w:t>
      </w:r>
      <w:r>
        <w:rPr>
          <w:b/>
          <w:bCs/>
          <w:color w:val="0000CC"/>
          <w:sz w:val="28"/>
          <w:szCs w:val="28"/>
        </w:rPr>
        <w:t>,</w:t>
      </w:r>
      <w:r w:rsidRPr="00042CB7">
        <w:rPr>
          <w:b/>
          <w:bCs/>
          <w:color w:val="0000CC"/>
          <w:sz w:val="28"/>
          <w:szCs w:val="28"/>
        </w:rPr>
        <w:t xml:space="preserve"> Financial </w:t>
      </w:r>
      <w:r>
        <w:rPr>
          <w:b/>
          <w:bCs/>
          <w:color w:val="0000CC"/>
          <w:sz w:val="28"/>
          <w:szCs w:val="28"/>
        </w:rPr>
        <w:t>(</w:t>
      </w:r>
      <w:proofErr w:type="spellStart"/>
      <w:r>
        <w:rPr>
          <w:b/>
          <w:bCs/>
          <w:color w:val="0000CC"/>
          <w:sz w:val="28"/>
          <w:szCs w:val="28"/>
        </w:rPr>
        <w:t>TMF</w:t>
      </w:r>
      <w:proofErr w:type="spellEnd"/>
      <w:r>
        <w:rPr>
          <w:b/>
          <w:bCs/>
          <w:color w:val="0000CC"/>
          <w:sz w:val="28"/>
          <w:szCs w:val="28"/>
        </w:rPr>
        <w:t xml:space="preserve">) </w:t>
      </w:r>
      <w:r w:rsidRPr="00042CB7">
        <w:rPr>
          <w:b/>
          <w:bCs/>
          <w:color w:val="0000CC"/>
          <w:sz w:val="28"/>
          <w:szCs w:val="28"/>
        </w:rPr>
        <w:t>Capacity</w:t>
      </w:r>
      <w:r>
        <w:rPr>
          <w:b/>
          <w:bCs/>
          <w:color w:val="0000CC"/>
          <w:sz w:val="28"/>
          <w:szCs w:val="28"/>
        </w:rPr>
        <w:t xml:space="preserve"> </w:t>
      </w:r>
      <w:r w:rsidR="00195918">
        <w:rPr>
          <w:b/>
          <w:bCs/>
          <w:color w:val="0000CC"/>
          <w:sz w:val="28"/>
          <w:szCs w:val="28"/>
        </w:rPr>
        <w:t xml:space="preserve">Development </w:t>
      </w:r>
    </w:p>
    <w:bookmarkEnd w:id="2"/>
    <w:p w14:paraId="19145640" w14:textId="77777777" w:rsidR="00384D6F" w:rsidRDefault="00ED7801" w:rsidP="00ED7801">
      <w:pPr>
        <w:ind w:left="720"/>
      </w:pPr>
      <w:r w:rsidRPr="00401BD4">
        <w:rPr>
          <w:b/>
          <w:bCs/>
        </w:rPr>
        <w:t>Technical, Managerial and Financial (</w:t>
      </w:r>
      <w:proofErr w:type="spellStart"/>
      <w:r w:rsidRPr="00401BD4">
        <w:rPr>
          <w:b/>
          <w:bCs/>
        </w:rPr>
        <w:t>TMF</w:t>
      </w:r>
      <w:proofErr w:type="spellEnd"/>
      <w:r w:rsidRPr="00401BD4">
        <w:rPr>
          <w:b/>
          <w:bCs/>
        </w:rPr>
        <w:t xml:space="preserve">) Capacity Resources </w:t>
      </w:r>
      <w:r w:rsidRPr="00401BD4">
        <w:t>are available to help</w:t>
      </w:r>
      <w:r>
        <w:t xml:space="preserve"> </w:t>
      </w:r>
      <w:r w:rsidRPr="00401BD4">
        <w:t>public water systems build their technical, managerial and financial (</w:t>
      </w:r>
      <w:proofErr w:type="spellStart"/>
      <w:r w:rsidRPr="00401BD4">
        <w:t>TMF</w:t>
      </w:r>
      <w:proofErr w:type="spellEnd"/>
      <w:r w:rsidRPr="00401BD4">
        <w:t xml:space="preserve">) capacity. </w:t>
      </w:r>
      <w:proofErr w:type="spellStart"/>
      <w:r w:rsidRPr="00401BD4">
        <w:t>TMF</w:t>
      </w:r>
      <w:proofErr w:type="spellEnd"/>
      <w:r w:rsidRPr="00401BD4">
        <w:t xml:space="preserve"> capacity is necessary to achieve and maintain long-term sustainability and compliance with national safe drinking water regulations. </w:t>
      </w:r>
    </w:p>
    <w:p w14:paraId="32DC953F" w14:textId="3A964079" w:rsidR="00ED7801" w:rsidRDefault="003C54E7" w:rsidP="003C54E7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r w:rsidRPr="003C54E7">
        <w:t>Technical, Management, Financial (</w:t>
      </w:r>
      <w:proofErr w:type="spellStart"/>
      <w:r w:rsidRPr="003C54E7">
        <w:t>TMF</w:t>
      </w:r>
      <w:proofErr w:type="spellEnd"/>
      <w:r w:rsidRPr="003C54E7">
        <w:t xml:space="preserve">) Capacity </w:t>
      </w:r>
      <w:r w:rsidRPr="003C54E7">
        <w:tab/>
      </w:r>
      <w:hyperlink r:id="rId7" w:history="1">
        <w:r w:rsidRPr="003C54E7">
          <w:t>https://www.epa.gov/dwcapacity/technical-managerial-and-financial-tmf-capacity-resources-small-drinking-water-systems</w:t>
        </w:r>
      </w:hyperlink>
      <w:r w:rsidR="00ED7801">
        <w:t xml:space="preserve"> </w:t>
      </w:r>
    </w:p>
    <w:p w14:paraId="6A7C908E" w14:textId="2DA803B9" w:rsidR="003C54E7" w:rsidRDefault="00541066" w:rsidP="003C54E7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r w:rsidRPr="00541066">
        <w:t>Evaluating</w:t>
      </w:r>
      <w:r>
        <w:t xml:space="preserve"> </w:t>
      </w:r>
      <w:r w:rsidRPr="003C54E7">
        <w:t>Technical, Management, Financial (</w:t>
      </w:r>
      <w:proofErr w:type="spellStart"/>
      <w:r w:rsidRPr="003C54E7">
        <w:t>TMF</w:t>
      </w:r>
      <w:proofErr w:type="spellEnd"/>
      <w:r w:rsidRPr="003C54E7">
        <w:t>) Capacity</w:t>
      </w:r>
      <w:r w:rsidR="003C54E7">
        <w:tab/>
        <w:t>1-6.7b</w:t>
      </w:r>
    </w:p>
    <w:p w14:paraId="486AED14" w14:textId="5F1B2E2C" w:rsidR="003C54E7" w:rsidRPr="00401BD4" w:rsidRDefault="00570EC5" w:rsidP="003C54E7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r w:rsidRPr="00570EC5">
        <w:t>FRWA</w:t>
      </w:r>
      <w:r>
        <w:t xml:space="preserve"> </w:t>
      </w:r>
      <w:r w:rsidRPr="00570EC5">
        <w:t>Capacity</w:t>
      </w:r>
      <w:r>
        <w:t xml:space="preserve"> </w:t>
      </w:r>
      <w:r w:rsidRPr="00570EC5">
        <w:t>Development</w:t>
      </w:r>
      <w:r>
        <w:t xml:space="preserve"> </w:t>
      </w:r>
      <w:r w:rsidRPr="00570EC5">
        <w:t>Activities</w:t>
      </w:r>
      <w:r>
        <w:tab/>
      </w:r>
      <w:r w:rsidRPr="00570EC5">
        <w:t>1-6.7c</w:t>
      </w:r>
    </w:p>
    <w:p w14:paraId="00FD33C0" w14:textId="3CD1247D" w:rsidR="00ED7801" w:rsidRPr="00042CB7" w:rsidRDefault="00ED7801" w:rsidP="00ED7801">
      <w:pPr>
        <w:rPr>
          <w:b/>
          <w:bCs/>
          <w:color w:val="0000CC"/>
          <w:sz w:val="28"/>
          <w:szCs w:val="28"/>
        </w:rPr>
      </w:pPr>
      <w:bookmarkStart w:id="4" w:name="_Hlk188016257"/>
      <w:bookmarkEnd w:id="3"/>
      <w:r w:rsidRPr="00042CB7">
        <w:rPr>
          <w:b/>
          <w:bCs/>
          <w:color w:val="0000CC"/>
          <w:sz w:val="28"/>
          <w:szCs w:val="28"/>
        </w:rPr>
        <w:t>M</w:t>
      </w:r>
      <w:r>
        <w:rPr>
          <w:b/>
          <w:bCs/>
          <w:color w:val="0000CC"/>
          <w:sz w:val="28"/>
          <w:szCs w:val="28"/>
        </w:rPr>
        <w:t>ana</w:t>
      </w:r>
      <w:r w:rsidRPr="00042CB7">
        <w:rPr>
          <w:b/>
          <w:bCs/>
          <w:color w:val="0000CC"/>
          <w:sz w:val="28"/>
          <w:szCs w:val="28"/>
        </w:rPr>
        <w:t>g</w:t>
      </w:r>
      <w:r>
        <w:rPr>
          <w:b/>
          <w:bCs/>
          <w:color w:val="0000CC"/>
          <w:sz w:val="28"/>
          <w:szCs w:val="28"/>
        </w:rPr>
        <w:t>e</w:t>
      </w:r>
      <w:r w:rsidRPr="00042CB7">
        <w:rPr>
          <w:b/>
          <w:bCs/>
          <w:color w:val="0000CC"/>
          <w:sz w:val="28"/>
          <w:szCs w:val="28"/>
        </w:rPr>
        <w:t>m</w:t>
      </w:r>
      <w:r>
        <w:rPr>
          <w:b/>
          <w:bCs/>
          <w:color w:val="0000CC"/>
          <w:sz w:val="28"/>
          <w:szCs w:val="28"/>
        </w:rPr>
        <w:t>en</w:t>
      </w:r>
      <w:r w:rsidRPr="00042CB7">
        <w:rPr>
          <w:b/>
          <w:bCs/>
          <w:color w:val="0000CC"/>
          <w:sz w:val="28"/>
          <w:szCs w:val="28"/>
        </w:rPr>
        <w:t>t</w:t>
      </w:r>
      <w:r w:rsidR="00643595">
        <w:rPr>
          <w:b/>
          <w:bCs/>
          <w:color w:val="0000CC"/>
          <w:sz w:val="28"/>
          <w:szCs w:val="28"/>
        </w:rPr>
        <w:t xml:space="preserve"> </w:t>
      </w:r>
      <w:bookmarkEnd w:id="4"/>
      <w:r w:rsidRPr="00042CB7">
        <w:rPr>
          <w:b/>
          <w:bCs/>
          <w:color w:val="0000CC"/>
          <w:sz w:val="28"/>
          <w:szCs w:val="28"/>
        </w:rPr>
        <w:t>Capacity</w:t>
      </w:r>
      <w:r>
        <w:rPr>
          <w:b/>
          <w:bCs/>
          <w:color w:val="0000CC"/>
          <w:sz w:val="28"/>
          <w:szCs w:val="28"/>
        </w:rPr>
        <w:t xml:space="preserve"> </w:t>
      </w:r>
    </w:p>
    <w:p w14:paraId="1FDA0A0D" w14:textId="0925DB1F" w:rsidR="00ED7801" w:rsidRDefault="00ED7801" w:rsidP="006F3BF5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hyperlink r:id="rId8" w:tgtFrame="_blank" w:history="1">
        <w:r w:rsidRPr="006F3BF5">
          <w:t xml:space="preserve">New Water System Startup </w:t>
        </w:r>
        <w:proofErr w:type="spellStart"/>
        <w:r w:rsidR="00E8702B">
          <w:t>TMF</w:t>
        </w:r>
        <w:proofErr w:type="spellEnd"/>
        <w:r w:rsidR="00E8702B">
          <w:t xml:space="preserve"> </w:t>
        </w:r>
        <w:r w:rsidRPr="006F3BF5">
          <w:t>Checklist</w:t>
        </w:r>
      </w:hyperlink>
      <w:r w:rsidR="006F3BF5">
        <w:tab/>
      </w:r>
      <w:r w:rsidR="006F3BF5" w:rsidRPr="00570EC5">
        <w:t>1-6.7</w:t>
      </w:r>
      <w:r w:rsidR="006F3BF5">
        <w:t>d</w:t>
      </w:r>
    </w:p>
    <w:p w14:paraId="5D9D7A02" w14:textId="3A73A305" w:rsidR="00E8702B" w:rsidRDefault="00E8702B" w:rsidP="006F3BF5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r w:rsidRPr="00E8702B">
        <w:t>New</w:t>
      </w:r>
      <w:r>
        <w:t xml:space="preserve"> </w:t>
      </w:r>
      <w:r w:rsidRPr="00E8702B">
        <w:t>Non</w:t>
      </w:r>
      <w:r>
        <w:t>-</w:t>
      </w:r>
      <w:r w:rsidRPr="00E8702B">
        <w:t>Profit</w:t>
      </w:r>
      <w:r>
        <w:t xml:space="preserve"> </w:t>
      </w:r>
      <w:r w:rsidRPr="00E8702B">
        <w:t>Water</w:t>
      </w:r>
      <w:r>
        <w:t xml:space="preserve"> </w:t>
      </w:r>
      <w:r w:rsidRPr="00E8702B">
        <w:t>System</w:t>
      </w:r>
      <w:r>
        <w:t xml:space="preserve"> </w:t>
      </w:r>
      <w:r w:rsidRPr="00E8702B">
        <w:t>Startup</w:t>
      </w:r>
      <w:r>
        <w:t xml:space="preserve"> </w:t>
      </w:r>
      <w:r w:rsidRPr="00E8702B">
        <w:t>Checklist</w:t>
      </w:r>
      <w:r>
        <w:tab/>
      </w:r>
      <w:r w:rsidRPr="00E8702B">
        <w:t>1-6.7e</w:t>
      </w:r>
    </w:p>
    <w:p w14:paraId="41D347E6" w14:textId="351F7E16" w:rsidR="00ED7801" w:rsidRPr="00824D1D" w:rsidRDefault="00ED7801" w:rsidP="006F3BF5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hyperlink r:id="rId9" w:tgtFrame="_blank" w:history="1">
        <w:r w:rsidRPr="006F3BF5">
          <w:t>Public Relation Ideas</w:t>
        </w:r>
      </w:hyperlink>
      <w:r w:rsidR="00DB364A">
        <w:tab/>
      </w:r>
      <w:r w:rsidR="00DB364A" w:rsidRPr="00E8702B">
        <w:t>1-6.7</w:t>
      </w:r>
      <w:r w:rsidR="00DB364A">
        <w:t>f</w:t>
      </w:r>
    </w:p>
    <w:p w14:paraId="617A26CF" w14:textId="08B2FB46" w:rsidR="00ED7801" w:rsidRPr="00824D1D" w:rsidRDefault="00ED7801" w:rsidP="006F3BF5">
      <w:pPr>
        <w:numPr>
          <w:ilvl w:val="0"/>
          <w:numId w:val="1"/>
        </w:numPr>
        <w:tabs>
          <w:tab w:val="right" w:pos="1080"/>
          <w:tab w:val="right" w:leader="dot" w:pos="10080"/>
        </w:tabs>
        <w:spacing w:line="240" w:lineRule="auto"/>
        <w:ind w:left="720" w:firstLine="0"/>
      </w:pPr>
      <w:hyperlink r:id="rId10" w:tgtFrame="_blank" w:history="1">
        <w:r w:rsidRPr="006F3BF5">
          <w:t>Water</w:t>
        </w:r>
        <w:r w:rsidR="00DE0AE0">
          <w:t xml:space="preserve"> &amp; Wastewater Utility </w:t>
        </w:r>
        <w:r w:rsidRPr="006F3BF5">
          <w:t xml:space="preserve">Board </w:t>
        </w:r>
        <w:r w:rsidR="00DE0AE0">
          <w:t xml:space="preserve">Member </w:t>
        </w:r>
        <w:r w:rsidRPr="006F3BF5">
          <w:t>Handbook</w:t>
        </w:r>
      </w:hyperlink>
      <w:r w:rsidR="00DE0AE0">
        <w:tab/>
      </w:r>
      <w:r w:rsidR="00DE0AE0" w:rsidRPr="00E8702B">
        <w:t>1-6.7</w:t>
      </w:r>
      <w:r w:rsidR="00DE0AE0">
        <w:t>g</w:t>
      </w:r>
    </w:p>
    <w:p w14:paraId="0E41E7FB" w14:textId="77777777" w:rsidR="00ED7801" w:rsidRPr="00643595" w:rsidRDefault="00ED7801" w:rsidP="00643595">
      <w:pPr>
        <w:rPr>
          <w:b/>
          <w:bCs/>
          <w:color w:val="0000CC"/>
          <w:sz w:val="28"/>
          <w:szCs w:val="28"/>
        </w:rPr>
      </w:pPr>
      <w:r w:rsidRPr="00643595">
        <w:rPr>
          <w:b/>
          <w:bCs/>
          <w:color w:val="0000CC"/>
          <w:sz w:val="28"/>
          <w:szCs w:val="28"/>
        </w:rPr>
        <w:t>Financial Capacity</w:t>
      </w:r>
    </w:p>
    <w:p w14:paraId="26E71072" w14:textId="77777777" w:rsidR="00ED7801" w:rsidRPr="00643595" w:rsidRDefault="00ED7801" w:rsidP="00643595">
      <w:pPr>
        <w:ind w:left="720"/>
        <w:rPr>
          <w:rStyle w:val="Hyperlink"/>
        </w:rPr>
      </w:pPr>
      <w:hyperlink r:id="rId11" w:tgtFrame="_blank" w:history="1">
        <w:r w:rsidRPr="00556589">
          <w:rPr>
            <w:rStyle w:val="Hyperlink"/>
          </w:rPr>
          <w:t>Disconnection/Reconnection Fees</w:t>
        </w:r>
      </w:hyperlink>
    </w:p>
    <w:p w14:paraId="096EBE82" w14:textId="77777777" w:rsidR="00ED7801" w:rsidRPr="00643595" w:rsidRDefault="00ED7801" w:rsidP="00643595">
      <w:pPr>
        <w:ind w:left="720"/>
        <w:rPr>
          <w:rStyle w:val="Hyperlink"/>
        </w:rPr>
      </w:pPr>
      <w:hyperlink r:id="rId12" w:tgtFrame="_blank" w:history="1">
        <w:r w:rsidRPr="00556589">
          <w:rPr>
            <w:rStyle w:val="Hyperlink"/>
          </w:rPr>
          <w:t>Enterprise Fund Transfers</w:t>
        </w:r>
      </w:hyperlink>
    </w:p>
    <w:p w14:paraId="788F3393" w14:textId="77777777" w:rsidR="00ED7801" w:rsidRPr="00643595" w:rsidRDefault="00ED7801" w:rsidP="00643595">
      <w:pPr>
        <w:ind w:left="720"/>
        <w:rPr>
          <w:rStyle w:val="Hyperlink"/>
        </w:rPr>
      </w:pPr>
      <w:hyperlink r:id="rId13" w:tgtFrame="_blank" w:history="1">
        <w:r w:rsidRPr="00556589">
          <w:rPr>
            <w:rStyle w:val="Hyperlink"/>
          </w:rPr>
          <w:t>Enterprise Fund?</w:t>
        </w:r>
      </w:hyperlink>
    </w:p>
    <w:p w14:paraId="28BA9101" w14:textId="77777777" w:rsidR="00ED7801" w:rsidRPr="00643595" w:rsidRDefault="00ED7801" w:rsidP="00643595">
      <w:pPr>
        <w:ind w:left="720"/>
        <w:rPr>
          <w:rStyle w:val="Hyperlink"/>
        </w:rPr>
      </w:pPr>
      <w:hyperlink r:id="rId14" w:tgtFrame="_blank" w:history="1">
        <w:r w:rsidRPr="00556589">
          <w:rPr>
            <w:rStyle w:val="Hyperlink"/>
          </w:rPr>
          <w:t>Ratemaking</w:t>
        </w:r>
      </w:hyperlink>
    </w:p>
    <w:p w14:paraId="18599DEB" w14:textId="77777777" w:rsidR="00ED7801" w:rsidRPr="00643595" w:rsidRDefault="00ED7801" w:rsidP="00643595">
      <w:pPr>
        <w:ind w:left="720"/>
        <w:rPr>
          <w:rStyle w:val="Hyperlink"/>
        </w:rPr>
      </w:pPr>
      <w:r w:rsidRPr="00643595">
        <w:rPr>
          <w:rStyle w:val="Hyperlink"/>
        </w:rPr>
        <w:t>FRWA Rate Studies</w:t>
      </w:r>
    </w:p>
    <w:p w14:paraId="410C0FF2" w14:textId="77777777" w:rsidR="00ED7801" w:rsidRPr="00643595" w:rsidRDefault="00ED7801" w:rsidP="00643595">
      <w:pPr>
        <w:ind w:left="720"/>
        <w:rPr>
          <w:rStyle w:val="Hyperlink"/>
        </w:rPr>
      </w:pPr>
      <w:r w:rsidRPr="00643595">
        <w:rPr>
          <w:rStyle w:val="Hyperlink"/>
        </w:rPr>
        <w:lastRenderedPageBreak/>
        <w:t>Impact / Connection Fee Studies</w:t>
      </w:r>
    </w:p>
    <w:p w14:paraId="06CC8D03" w14:textId="77777777" w:rsidR="00ED7801" w:rsidRPr="00643595" w:rsidRDefault="00ED7801" w:rsidP="00643595">
      <w:pPr>
        <w:ind w:left="720"/>
        <w:rPr>
          <w:rStyle w:val="Hyperlink"/>
        </w:rPr>
      </w:pPr>
      <w:r w:rsidRPr="00643595">
        <w:rPr>
          <w:rStyle w:val="Hyperlink"/>
        </w:rPr>
        <w:t xml:space="preserve">Interim Finance </w:t>
      </w:r>
      <w:proofErr w:type="gramStart"/>
      <w:r w:rsidRPr="00643595">
        <w:rPr>
          <w:rStyle w:val="Hyperlink"/>
        </w:rPr>
        <w:t>thru</w:t>
      </w:r>
      <w:proofErr w:type="gramEnd"/>
      <w:r w:rsidRPr="00643595">
        <w:rPr>
          <w:rStyle w:val="Hyperlink"/>
        </w:rPr>
        <w:t xml:space="preserve"> </w:t>
      </w:r>
      <w:proofErr w:type="spellStart"/>
      <w:r w:rsidRPr="00643595">
        <w:rPr>
          <w:rStyle w:val="Hyperlink"/>
        </w:rPr>
        <w:t>NRWA</w:t>
      </w:r>
      <w:proofErr w:type="spellEnd"/>
      <w:r w:rsidRPr="00643595">
        <w:rPr>
          <w:rStyle w:val="Hyperlink"/>
        </w:rPr>
        <w:t xml:space="preserve"> &amp; USDA</w:t>
      </w:r>
    </w:p>
    <w:p w14:paraId="704A5440" w14:textId="77777777" w:rsidR="00ED7801" w:rsidRPr="00643595" w:rsidRDefault="00ED7801" w:rsidP="00643595">
      <w:pPr>
        <w:ind w:left="720"/>
        <w:rPr>
          <w:rStyle w:val="Hyperlink"/>
        </w:rPr>
      </w:pPr>
      <w:hyperlink r:id="rId15" w:tgtFrame="_blank" w:history="1">
        <w:r w:rsidRPr="00824D1D">
          <w:rPr>
            <w:rStyle w:val="Hyperlink"/>
          </w:rPr>
          <w:t>Full Cost Pricing</w:t>
        </w:r>
      </w:hyperlink>
    </w:p>
    <w:p w14:paraId="6E8F02E0" w14:textId="77777777" w:rsidR="00ED7801" w:rsidRPr="00643595" w:rsidRDefault="00ED7801" w:rsidP="00643595">
      <w:pPr>
        <w:ind w:left="720"/>
        <w:rPr>
          <w:rStyle w:val="Hyperlink"/>
        </w:rPr>
      </w:pPr>
      <w:hyperlink r:id="rId16" w:tgtFrame="_blank" w:history="1">
        <w:r w:rsidRPr="00824D1D">
          <w:rPr>
            <w:rStyle w:val="Hyperlink"/>
          </w:rPr>
          <w:t>Impending Infrastructure Expenditure Gap</w:t>
        </w:r>
      </w:hyperlink>
    </w:p>
    <w:bookmarkEnd w:id="1"/>
    <w:p w14:paraId="4B2268A7" w14:textId="77777777" w:rsidR="00384D6F" w:rsidRPr="005E5F5F" w:rsidRDefault="00384D6F" w:rsidP="00384D6F">
      <w:pPr>
        <w:rPr>
          <w:b/>
          <w:bCs/>
          <w:color w:val="0000CC"/>
          <w:sz w:val="28"/>
          <w:szCs w:val="28"/>
        </w:rPr>
      </w:pPr>
      <w:r w:rsidRPr="005E5F5F">
        <w:rPr>
          <w:b/>
          <w:bCs/>
          <w:color w:val="0000CC"/>
          <w:sz w:val="28"/>
          <w:szCs w:val="28"/>
        </w:rPr>
        <w:t>Rate Analysis</w:t>
      </w:r>
      <w:r w:rsidRPr="00F26560">
        <w:rPr>
          <w:b/>
          <w:bCs/>
          <w:color w:val="0000CC"/>
          <w:sz w:val="28"/>
          <w:szCs w:val="28"/>
        </w:rPr>
        <w:t xml:space="preserve"> </w:t>
      </w:r>
      <w:r w:rsidRPr="005E5F5F">
        <w:rPr>
          <w:b/>
          <w:bCs/>
          <w:color w:val="0000CC"/>
          <w:sz w:val="28"/>
          <w:szCs w:val="28"/>
        </w:rPr>
        <w:t>&amp; Revenue Requirements</w:t>
      </w:r>
    </w:p>
    <w:p w14:paraId="0215A5E3" w14:textId="748C01DD" w:rsidR="00384D6F" w:rsidRDefault="00384D6F" w:rsidP="00384D6F">
      <w:pPr>
        <w:ind w:left="720"/>
        <w:rPr>
          <w:b/>
          <w:bCs/>
          <w:color w:val="FF0000"/>
        </w:rPr>
      </w:pPr>
      <w:r w:rsidRPr="00F26560">
        <w:rPr>
          <w:b/>
          <w:bCs/>
          <w:color w:val="FF0000"/>
        </w:rPr>
        <w:t xml:space="preserve">1-6.8 FRWA </w:t>
      </w:r>
      <w:r>
        <w:rPr>
          <w:b/>
          <w:bCs/>
          <w:color w:val="FF0000"/>
        </w:rPr>
        <w:t xml:space="preserve">Whitepaper </w:t>
      </w:r>
      <w:r w:rsidRPr="001B400C">
        <w:rPr>
          <w:b/>
          <w:bCs/>
          <w:color w:val="FF0000"/>
        </w:rPr>
        <w:t>Ratemaking</w:t>
      </w:r>
      <w:r>
        <w:rPr>
          <w:b/>
          <w:bCs/>
          <w:color w:val="FF0000"/>
        </w:rPr>
        <w:t xml:space="preserve"> </w:t>
      </w:r>
      <w:r w:rsidRPr="001B400C">
        <w:rPr>
          <w:b/>
          <w:bCs/>
          <w:color w:val="FF0000"/>
        </w:rPr>
        <w:t>Decisions</w:t>
      </w:r>
      <w:r>
        <w:rPr>
          <w:b/>
          <w:bCs/>
          <w:color w:val="FF0000"/>
        </w:rPr>
        <w:t xml:space="preserve"> </w:t>
      </w:r>
      <w:r w:rsidRPr="00B21ED6">
        <w:rPr>
          <w:b/>
          <w:bCs/>
          <w:color w:val="FF0000"/>
        </w:rPr>
        <w:t>in Florida’s Public Water and Wastewater Utilities</w:t>
      </w:r>
    </w:p>
    <w:p w14:paraId="73515859" w14:textId="77777777" w:rsidR="00384D6F" w:rsidRPr="00384D6F" w:rsidRDefault="00384D6F" w:rsidP="00384D6F">
      <w:pPr>
        <w:ind w:left="720"/>
        <w:rPr>
          <w:b/>
          <w:bCs/>
          <w:color w:val="FF0000"/>
        </w:rPr>
      </w:pPr>
      <w:r w:rsidRPr="00384D6F">
        <w:rPr>
          <w:b/>
          <w:bCs/>
          <w:color w:val="FF0000"/>
        </w:rPr>
        <w:t>Setting Small Drinking Water System Rates for a Sustainable Future (pdf) - This guide below provides information on developing a budget and financial plan.</w:t>
      </w:r>
    </w:p>
    <w:p w14:paraId="73B5BBDD" w14:textId="12B74459" w:rsidR="00384D6F" w:rsidRPr="00B21ED6" w:rsidRDefault="00384D6F" w:rsidP="00384D6F">
      <w:pPr>
        <w:ind w:left="720"/>
        <w:rPr>
          <w:b/>
          <w:bCs/>
          <w:color w:val="FF0000"/>
        </w:rPr>
      </w:pPr>
      <w:proofErr w:type="spellStart"/>
      <w:r w:rsidRPr="00384D6F">
        <w:rPr>
          <w:b/>
          <w:bCs/>
          <w:color w:val="FF0000"/>
        </w:rPr>
        <w:t>WaterSense</w:t>
      </w:r>
      <w:proofErr w:type="spellEnd"/>
      <w:r w:rsidRPr="00384D6F">
        <w:rPr>
          <w:b/>
          <w:bCs/>
          <w:color w:val="FF0000"/>
        </w:rPr>
        <w:t xml:space="preserve"> Understanding Your Water Bill - This webpage is a resource for customers to understand water usage and rate structures.</w:t>
      </w:r>
    </w:p>
    <w:p w14:paraId="0C8DFA2F" w14:textId="77777777" w:rsidR="00384D6F" w:rsidRDefault="00384D6F" w:rsidP="00C07AD5">
      <w:pPr>
        <w:ind w:left="720"/>
      </w:pPr>
    </w:p>
    <w:p w14:paraId="16491C41" w14:textId="77777777" w:rsidR="00384D6F" w:rsidRPr="00384D6F" w:rsidRDefault="00384D6F" w:rsidP="00384D6F">
      <w:pPr>
        <w:ind w:left="720"/>
      </w:pPr>
      <w:hyperlink r:id="rId17" w:history="1">
        <w:r w:rsidRPr="00384D6F">
          <w:rPr>
            <w:rStyle w:val="Hyperlink"/>
          </w:rPr>
          <w:t>Setting Small Drinking Water System Rates for a Sustainable Future (pdf)</w:t>
        </w:r>
      </w:hyperlink>
      <w:r w:rsidRPr="00384D6F">
        <w:t> - This guide below provides information on developing a budget and financial plan.</w:t>
      </w:r>
    </w:p>
    <w:p w14:paraId="0DCDA722" w14:textId="77777777" w:rsidR="00384D6F" w:rsidRPr="00384D6F" w:rsidRDefault="00384D6F" w:rsidP="00384D6F">
      <w:pPr>
        <w:ind w:left="720"/>
      </w:pPr>
      <w:hyperlink r:id="rId18" w:history="1">
        <w:proofErr w:type="spellStart"/>
        <w:r w:rsidRPr="00384D6F">
          <w:rPr>
            <w:rStyle w:val="Hyperlink"/>
          </w:rPr>
          <w:t>WaterSense</w:t>
        </w:r>
        <w:proofErr w:type="spellEnd"/>
        <w:r w:rsidRPr="00384D6F">
          <w:rPr>
            <w:rStyle w:val="Hyperlink"/>
          </w:rPr>
          <w:t xml:space="preserve"> Understanding Your Water Bill </w:t>
        </w:r>
      </w:hyperlink>
      <w:r w:rsidRPr="00384D6F">
        <w:t>- This webpage is a resource for customers to understand water usage and rate structures. </w:t>
      </w:r>
    </w:p>
    <w:p w14:paraId="4F0F72F8" w14:textId="3DC39A97" w:rsidR="00C07AD5" w:rsidRDefault="00C07AD5" w:rsidP="00C07AD5">
      <w:pPr>
        <w:ind w:left="720"/>
      </w:pPr>
      <w:hyperlink r:id="rId19" w:tgtFrame="_blank" w:history="1">
        <w:r w:rsidRPr="00556589">
          <w:rPr>
            <w:rStyle w:val="Hyperlink"/>
          </w:rPr>
          <w:t>Disconnection/Reconnection Fees</w:t>
        </w:r>
      </w:hyperlink>
    </w:p>
    <w:p w14:paraId="1EBA689D" w14:textId="77777777" w:rsidR="00C07AD5" w:rsidRPr="00556589" w:rsidRDefault="00C07AD5" w:rsidP="00C07AD5">
      <w:pPr>
        <w:ind w:left="720"/>
      </w:pPr>
      <w:hyperlink r:id="rId20" w:tgtFrame="_blank" w:history="1">
        <w:r w:rsidRPr="00556589">
          <w:rPr>
            <w:rStyle w:val="Hyperlink"/>
          </w:rPr>
          <w:t>Enterprise Fund Transfers</w:t>
        </w:r>
      </w:hyperlink>
    </w:p>
    <w:p w14:paraId="704C24AD" w14:textId="77777777" w:rsidR="00C07AD5" w:rsidRPr="00556589" w:rsidRDefault="00C07AD5" w:rsidP="00C07AD5">
      <w:pPr>
        <w:ind w:left="720"/>
      </w:pPr>
      <w:hyperlink r:id="rId21" w:tgtFrame="_blank" w:history="1">
        <w:r w:rsidRPr="00556589">
          <w:rPr>
            <w:rStyle w:val="Hyperlink"/>
          </w:rPr>
          <w:t>Enterprise Fund?</w:t>
        </w:r>
      </w:hyperlink>
    </w:p>
    <w:p w14:paraId="3427F24A" w14:textId="77777777" w:rsidR="00C07AD5" w:rsidRPr="00556589" w:rsidRDefault="00C07AD5" w:rsidP="00C07AD5">
      <w:pPr>
        <w:ind w:left="720"/>
      </w:pPr>
      <w:hyperlink r:id="rId22" w:tgtFrame="_blank" w:history="1">
        <w:r w:rsidRPr="00556589">
          <w:rPr>
            <w:rStyle w:val="Hyperlink"/>
          </w:rPr>
          <w:t>Ratemaking</w:t>
        </w:r>
      </w:hyperlink>
    </w:p>
    <w:p w14:paraId="3E205FDD" w14:textId="77777777" w:rsidR="00C07AD5" w:rsidRDefault="00C07AD5" w:rsidP="00C07AD5">
      <w:pPr>
        <w:ind w:left="720"/>
      </w:pPr>
      <w:hyperlink r:id="rId23" w:tgtFrame="_blank" w:history="1">
        <w:r w:rsidRPr="00824D1D">
          <w:rPr>
            <w:rStyle w:val="Hyperlink"/>
          </w:rPr>
          <w:t>Impending Infrastructure Expenditure Gap</w:t>
        </w:r>
      </w:hyperlink>
    </w:p>
    <w:p w14:paraId="2CBB8776" w14:textId="3D68F6A2" w:rsidR="0061471A" w:rsidRPr="0061471A" w:rsidRDefault="0061471A" w:rsidP="0061471A">
      <w:pPr>
        <w:ind w:left="720"/>
      </w:pPr>
      <w:hyperlink r:id="rId24" w:history="1">
        <w:r w:rsidRPr="0061471A">
          <w:rPr>
            <w:rStyle w:val="Hyperlink"/>
          </w:rPr>
          <w:t>Evaluating Municipal Wastewater User Charge Systems: What You Need to Know (pdf)</w:t>
        </w:r>
      </w:hyperlink>
    </w:p>
    <w:p w14:paraId="3148870B" w14:textId="6EE44648" w:rsidR="0061471A" w:rsidRPr="0061471A" w:rsidRDefault="0061471A" w:rsidP="0061471A">
      <w:pPr>
        <w:ind w:left="720"/>
      </w:pPr>
      <w:hyperlink r:id="rId25" w:history="1">
        <w:r w:rsidRPr="0061471A">
          <w:rPr>
            <w:rStyle w:val="Hyperlink"/>
          </w:rPr>
          <w:t>A Water and Wastewater Manager's Guide for Staying Financially Healthy (pdf)</w:t>
        </w:r>
      </w:hyperlink>
    </w:p>
    <w:p w14:paraId="46718E48" w14:textId="5EF03D84" w:rsidR="0061471A" w:rsidRPr="0061471A" w:rsidRDefault="0061471A" w:rsidP="0061471A">
      <w:pPr>
        <w:ind w:left="720"/>
      </w:pPr>
      <w:hyperlink r:id="rId26" w:history="1">
        <w:r w:rsidRPr="0061471A">
          <w:rPr>
            <w:rStyle w:val="Hyperlink"/>
          </w:rPr>
          <w:t>Building Support for Increasing User Fees (pdf)</w:t>
        </w:r>
      </w:hyperlink>
    </w:p>
    <w:p w14:paraId="0CCB93DF" w14:textId="77777777" w:rsidR="0061471A" w:rsidRPr="0061471A" w:rsidRDefault="0061471A" w:rsidP="0061471A">
      <w:pPr>
        <w:ind w:left="720"/>
      </w:pPr>
      <w:hyperlink r:id="rId27" w:history="1">
        <w:r w:rsidRPr="0061471A">
          <w:rPr>
            <w:rStyle w:val="Hyperlink"/>
          </w:rPr>
          <w:t>National Association of Regulatory Utility Commissioners (NARUC): Utility Rate School</w:t>
        </w:r>
      </w:hyperlink>
    </w:p>
    <w:p w14:paraId="78F48B1B" w14:textId="77777777" w:rsidR="0061471A" w:rsidRPr="0061471A" w:rsidRDefault="0061471A" w:rsidP="0061471A">
      <w:pPr>
        <w:ind w:left="720"/>
      </w:pPr>
      <w:hyperlink r:id="rId28" w:history="1">
        <w:r w:rsidRPr="0061471A">
          <w:rPr>
            <w:rStyle w:val="Hyperlink"/>
          </w:rPr>
          <w:t>Webinars on Customer Assistance Programs at Drinking Water and Wastewater Utilities</w:t>
        </w:r>
      </w:hyperlink>
    </w:p>
    <w:p w14:paraId="2C42AAE5" w14:textId="77777777" w:rsidR="0061471A" w:rsidRPr="0061471A" w:rsidRDefault="0061471A" w:rsidP="0061471A">
      <w:pPr>
        <w:ind w:left="720"/>
      </w:pPr>
      <w:hyperlink r:id="rId29" w:history="1">
        <w:r w:rsidRPr="0061471A">
          <w:rPr>
            <w:rStyle w:val="Hyperlink"/>
          </w:rPr>
          <w:t>A Compendium of Drinking Water and Wastewater Customer Assistance Programs</w:t>
        </w:r>
      </w:hyperlink>
    </w:p>
    <w:p w14:paraId="14A2DE1F" w14:textId="57120EA3" w:rsidR="0061471A" w:rsidRPr="0061471A" w:rsidRDefault="0061471A" w:rsidP="0061471A">
      <w:pPr>
        <w:ind w:left="720"/>
      </w:pPr>
      <w:hyperlink r:id="rId30" w:history="1">
        <w:r w:rsidRPr="0061471A">
          <w:rPr>
            <w:rStyle w:val="Hyperlink"/>
          </w:rPr>
          <w:t xml:space="preserve">Assistance that Saves: How </w:t>
        </w:r>
        <w:proofErr w:type="spellStart"/>
        <w:r w:rsidRPr="0061471A">
          <w:rPr>
            <w:rStyle w:val="Hyperlink"/>
          </w:rPr>
          <w:t>WaterSense</w:t>
        </w:r>
        <w:proofErr w:type="spellEnd"/>
        <w:r w:rsidRPr="0061471A">
          <w:rPr>
            <w:rStyle w:val="Hyperlink"/>
          </w:rPr>
          <w:t xml:space="preserve"> Partners Incorporate Water Efficiency into Affordability Programs (pdf)</w:t>
        </w:r>
      </w:hyperlink>
    </w:p>
    <w:p w14:paraId="47301750" w14:textId="01A6CD69" w:rsidR="0061471A" w:rsidRPr="0061471A" w:rsidRDefault="0061471A" w:rsidP="0061471A">
      <w:pPr>
        <w:ind w:left="720"/>
      </w:pPr>
      <w:hyperlink r:id="rId31" w:history="1">
        <w:r w:rsidRPr="0061471A">
          <w:rPr>
            <w:rStyle w:val="Hyperlink"/>
          </w:rPr>
          <w:t>Case Studies of Sustainable Water and Wastewater Pricing (pdf)</w:t>
        </w:r>
      </w:hyperlink>
    </w:p>
    <w:p w14:paraId="1AFB3FEA" w14:textId="0F05859F" w:rsidR="0061471A" w:rsidRPr="0061471A" w:rsidRDefault="0061471A" w:rsidP="0061471A">
      <w:pPr>
        <w:ind w:left="720"/>
      </w:pPr>
      <w:hyperlink r:id="rId32" w:history="1">
        <w:r w:rsidRPr="0061471A">
          <w:rPr>
            <w:rStyle w:val="Hyperlink"/>
          </w:rPr>
          <w:t>Pricing of Water and Wastewater: An Informational Overview (pdf)</w:t>
        </w:r>
      </w:hyperlink>
    </w:p>
    <w:p w14:paraId="33CFC468" w14:textId="08B2F891" w:rsidR="0061471A" w:rsidRPr="0061471A" w:rsidRDefault="0061471A" w:rsidP="0061471A">
      <w:pPr>
        <w:ind w:left="720"/>
      </w:pPr>
      <w:hyperlink r:id="rId33" w:history="1">
        <w:r w:rsidRPr="0061471A">
          <w:rPr>
            <w:rStyle w:val="Hyperlink"/>
          </w:rPr>
          <w:t>Consolidated Water Rates: Issues and Practices in Single Tariff Pricing (pdf)</w:t>
        </w:r>
      </w:hyperlink>
    </w:p>
    <w:p w14:paraId="4D2212FE" w14:textId="46B1B568" w:rsidR="0061471A" w:rsidRPr="00824D1D" w:rsidRDefault="0061471A" w:rsidP="00C07AD5">
      <w:pPr>
        <w:ind w:left="720"/>
      </w:pPr>
      <w:hyperlink r:id="rId34" w:history="1">
        <w:r w:rsidRPr="0061471A">
          <w:rPr>
            <w:rStyle w:val="Hyperlink"/>
          </w:rPr>
          <w:t>Expert Workshop on Full Cost Pricing of Water and Wastewater Service (pdf)</w:t>
        </w:r>
      </w:hyperlink>
    </w:p>
    <w:p w14:paraId="6DD68092" w14:textId="77777777" w:rsidR="00384D6F" w:rsidRPr="005E5F5F" w:rsidRDefault="00384D6F" w:rsidP="00384D6F">
      <w:pPr>
        <w:rPr>
          <w:b/>
          <w:bCs/>
          <w:color w:val="0000CC"/>
          <w:sz w:val="28"/>
          <w:szCs w:val="28"/>
        </w:rPr>
      </w:pPr>
      <w:r w:rsidRPr="00F26560">
        <w:rPr>
          <w:b/>
          <w:bCs/>
          <w:color w:val="0000CC"/>
          <w:sz w:val="28"/>
          <w:szCs w:val="28"/>
        </w:rPr>
        <w:t>Impact / Connection Fee Studies</w:t>
      </w:r>
      <w:r>
        <w:rPr>
          <w:b/>
          <w:bCs/>
          <w:color w:val="0000CC"/>
          <w:sz w:val="28"/>
          <w:szCs w:val="28"/>
        </w:rPr>
        <w:t xml:space="preserve"> &amp; </w:t>
      </w:r>
      <w:r w:rsidRPr="005E5F5F">
        <w:rPr>
          <w:b/>
          <w:bCs/>
          <w:color w:val="0000CC"/>
          <w:sz w:val="28"/>
          <w:szCs w:val="28"/>
        </w:rPr>
        <w:t>Cost of Service</w:t>
      </w:r>
    </w:p>
    <w:p w14:paraId="02023047" w14:textId="77777777" w:rsidR="00C07AD5" w:rsidRDefault="00C07AD5" w:rsidP="00C07AD5">
      <w:pPr>
        <w:ind w:left="720"/>
      </w:pPr>
      <w:r>
        <w:t>Impact / Connection Fee Studies</w:t>
      </w:r>
    </w:p>
    <w:p w14:paraId="10B80392" w14:textId="77777777" w:rsidR="00C07AD5" w:rsidRDefault="00C07AD5" w:rsidP="00C07AD5">
      <w:pPr>
        <w:ind w:left="720"/>
      </w:pPr>
      <w:hyperlink r:id="rId35" w:tgtFrame="_blank" w:history="1">
        <w:r w:rsidRPr="00824D1D">
          <w:rPr>
            <w:rStyle w:val="Hyperlink"/>
          </w:rPr>
          <w:t>Full Cost Pricing</w:t>
        </w:r>
      </w:hyperlink>
    </w:p>
    <w:bookmarkStart w:id="5" w:name="_Hlk188115214"/>
    <w:p w14:paraId="0818610D" w14:textId="50BF5D31" w:rsidR="0061471A" w:rsidRDefault="0061471A" w:rsidP="00384D6F">
      <w:pPr>
        <w:ind w:left="720"/>
      </w:pPr>
      <w:r>
        <w:fldChar w:fldCharType="begin"/>
      </w:r>
      <w:r>
        <w:instrText>HYPERLINK "</w:instrText>
      </w:r>
      <w:r w:rsidRPr="0061471A">
        <w:instrText>https://store.awwa.org/M1-Principles-of-Water-Rates-Fees-and-Charges-Seventh-Edition</w:instrText>
      </w:r>
      <w:r>
        <w:instrText>"</w:instrText>
      </w:r>
      <w:r>
        <w:fldChar w:fldCharType="separate"/>
      </w:r>
      <w:r w:rsidRPr="003C395C">
        <w:rPr>
          <w:rStyle w:val="Hyperlink"/>
        </w:rPr>
        <w:t>https://store.awwa.org/M1-Principles-of-Water-Rates-Fees-and-Charges-Seventh-Edition</w:t>
      </w:r>
      <w:r>
        <w:fldChar w:fldCharType="end"/>
      </w:r>
    </w:p>
    <w:p w14:paraId="33DFC246" w14:textId="5E193523" w:rsidR="00384D6F" w:rsidRDefault="00384D6F" w:rsidP="00384D6F">
      <w:pPr>
        <w:ind w:left="720"/>
        <w:rPr>
          <w:szCs w:val="24"/>
        </w:rPr>
      </w:pPr>
      <w:r>
        <w:t xml:space="preserve">Link to </w:t>
      </w:r>
      <w:r w:rsidRPr="00410E58">
        <w:rPr>
          <w:b/>
          <w:bCs/>
          <w:color w:val="FF0000"/>
        </w:rPr>
        <w:t>1-5.2_EngrServicesRequestForm.pdf</w:t>
      </w:r>
      <w:r>
        <w:rPr>
          <w:b/>
          <w:bCs/>
          <w:color w:val="FF0000"/>
        </w:rPr>
        <w:t xml:space="preserve"> </w:t>
      </w:r>
    </w:p>
    <w:p w14:paraId="73177861" w14:textId="2A2CB985" w:rsidR="00384D6F" w:rsidRPr="00F26560" w:rsidRDefault="00384D6F" w:rsidP="00384D6F">
      <w:pPr>
        <w:ind w:left="720"/>
        <w:rPr>
          <w:b/>
          <w:bCs/>
        </w:rPr>
      </w:pPr>
      <w:r w:rsidRPr="00F26560">
        <w:rPr>
          <w:b/>
          <w:bCs/>
          <w:color w:val="FF0000"/>
        </w:rPr>
        <w:t xml:space="preserve">FRWA </w:t>
      </w:r>
      <w:r>
        <w:rPr>
          <w:b/>
          <w:bCs/>
          <w:color w:val="FF0000"/>
        </w:rPr>
        <w:t>Whitepaper</w:t>
      </w:r>
      <w:r w:rsidRPr="00B21ED6">
        <w:rPr>
          <w:b/>
          <w:bCs/>
          <w:color w:val="FF0000"/>
        </w:rPr>
        <w:t xml:space="preserve"> Setting Capacity Charges for Water &amp; Wastewater Systems</w:t>
      </w:r>
      <w:r>
        <w:rPr>
          <w:b/>
          <w:bCs/>
          <w:color w:val="FF0000"/>
        </w:rPr>
        <w:t>.pdf</w:t>
      </w:r>
    </w:p>
    <w:p w14:paraId="25133B23" w14:textId="1BDB84C6" w:rsidR="00384D6F" w:rsidRPr="005E5F5F" w:rsidRDefault="00384D6F" w:rsidP="00384D6F">
      <w:pPr>
        <w:rPr>
          <w:b/>
          <w:bCs/>
          <w:color w:val="0000CC"/>
          <w:sz w:val="28"/>
          <w:szCs w:val="28"/>
        </w:rPr>
      </w:pPr>
      <w:bookmarkStart w:id="6" w:name="_Hlk188114974"/>
      <w:bookmarkStart w:id="7" w:name="_Hlk188115394"/>
      <w:bookmarkEnd w:id="5"/>
      <w:r w:rsidRPr="005E5F5F">
        <w:rPr>
          <w:b/>
          <w:bCs/>
          <w:color w:val="0000CC"/>
          <w:sz w:val="28"/>
          <w:szCs w:val="28"/>
        </w:rPr>
        <w:t xml:space="preserve">Water Audits </w:t>
      </w:r>
    </w:p>
    <w:p w14:paraId="6DD06469" w14:textId="77777777" w:rsidR="00384D6F" w:rsidRPr="001C32E7" w:rsidRDefault="00384D6F" w:rsidP="00384D6F">
      <w:pPr>
        <w:pStyle w:val="ListParagraph"/>
        <w:contextualSpacing w:val="0"/>
        <w:rPr>
          <w:b/>
          <w:bCs/>
          <w:color w:val="FF0000"/>
        </w:rPr>
      </w:pPr>
      <w:r w:rsidRPr="005E5F5F">
        <w:t xml:space="preserve">Water Audits provide analysis of water losses and unaccounted-for-water resulting in lost revenues. </w:t>
      </w:r>
      <w:r>
        <w:t xml:space="preserve">Insert Link to </w:t>
      </w:r>
      <w:r w:rsidRPr="001C32E7">
        <w:rPr>
          <w:b/>
          <w:bCs/>
          <w:color w:val="FF0000"/>
        </w:rPr>
        <w:t xml:space="preserve">1-2.6 </w:t>
      </w:r>
      <w:hyperlink r:id="rId36" w:history="1">
        <w:r w:rsidRPr="001C32E7">
          <w:rPr>
            <w:b/>
            <w:bCs/>
            <w:color w:val="FF0000"/>
          </w:rPr>
          <w:t>contact us</w:t>
        </w:r>
      </w:hyperlink>
      <w:r w:rsidRPr="001C32E7">
        <w:rPr>
          <w:b/>
          <w:bCs/>
          <w:color w:val="FF0000"/>
        </w:rPr>
        <w:t xml:space="preserve"> regarding </w:t>
      </w:r>
      <w:proofErr w:type="spellStart"/>
      <w:r w:rsidRPr="001C32E7">
        <w:rPr>
          <w:b/>
          <w:bCs/>
          <w:color w:val="FF0000"/>
        </w:rPr>
        <w:t>DW</w:t>
      </w:r>
      <w:proofErr w:type="spellEnd"/>
      <w:r w:rsidRPr="001C32E7">
        <w:rPr>
          <w:b/>
          <w:bCs/>
          <w:color w:val="FF0000"/>
        </w:rPr>
        <w:t xml:space="preserve"> Issues!</w:t>
      </w:r>
    </w:p>
    <w:bookmarkEnd w:id="6"/>
    <w:bookmarkEnd w:id="7"/>
    <w:p w14:paraId="4F816DA1" w14:textId="6BAC69EE" w:rsidR="00384D6F" w:rsidRPr="005E5F5F" w:rsidRDefault="00384D6F" w:rsidP="00384D6F">
      <w:pPr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Wastewater</w:t>
      </w:r>
      <w:r w:rsidRPr="005E5F5F">
        <w:rPr>
          <w:b/>
          <w:bCs/>
          <w:color w:val="0000CC"/>
          <w:sz w:val="28"/>
          <w:szCs w:val="28"/>
        </w:rPr>
        <w:t xml:space="preserve"> Infiltration/Inflow</w:t>
      </w:r>
      <w:r>
        <w:rPr>
          <w:b/>
          <w:bCs/>
          <w:color w:val="0000CC"/>
          <w:sz w:val="28"/>
          <w:szCs w:val="28"/>
        </w:rPr>
        <w:t xml:space="preserve"> Studies</w:t>
      </w:r>
    </w:p>
    <w:p w14:paraId="2CAD342D" w14:textId="77777777" w:rsidR="00384D6F" w:rsidRPr="00B21ED6" w:rsidRDefault="00384D6F" w:rsidP="00384D6F">
      <w:pPr>
        <w:pStyle w:val="ListParagraph"/>
        <w:contextualSpacing w:val="0"/>
      </w:pPr>
      <w:r w:rsidRPr="005E5F5F">
        <w:t>Infiltration &amp; Inflow Wastewater Studies quantify “clear water” that may enter a sewage collection system under wet weather or wet soil conditions.</w:t>
      </w:r>
      <w:r w:rsidRPr="00247FAE">
        <w:t xml:space="preserve"> </w:t>
      </w:r>
      <w:r>
        <w:t xml:space="preserve">Insert Link to </w:t>
      </w:r>
      <w:r w:rsidRPr="00B21ED6">
        <w:t>1</w:t>
      </w:r>
      <w:r w:rsidRPr="00B21ED6">
        <w:rPr>
          <w:b/>
          <w:bCs/>
          <w:color w:val="FF0000"/>
        </w:rPr>
        <w:t xml:space="preserve">-3.7 </w:t>
      </w:r>
      <w:hyperlink r:id="rId37" w:history="1">
        <w:r w:rsidRPr="00B21ED6">
          <w:rPr>
            <w:b/>
            <w:bCs/>
            <w:color w:val="FF0000"/>
          </w:rPr>
          <w:t>contact us</w:t>
        </w:r>
      </w:hyperlink>
      <w:r w:rsidRPr="00B21ED6">
        <w:rPr>
          <w:b/>
          <w:bCs/>
          <w:color w:val="FF0000"/>
        </w:rPr>
        <w:t xml:space="preserve"> regarding WW Issues! </w:t>
      </w:r>
    </w:p>
    <w:p w14:paraId="2B3CED36" w14:textId="77777777" w:rsidR="00C07AD5" w:rsidRPr="00C07AD5" w:rsidRDefault="00C07AD5" w:rsidP="00C07AD5">
      <w:pPr>
        <w:rPr>
          <w:b/>
          <w:bCs/>
          <w:color w:val="0000CC"/>
          <w:sz w:val="28"/>
          <w:szCs w:val="28"/>
        </w:rPr>
      </w:pPr>
      <w:r w:rsidRPr="00C07AD5">
        <w:rPr>
          <w:b/>
          <w:bCs/>
          <w:color w:val="0000CC"/>
          <w:sz w:val="28"/>
          <w:szCs w:val="28"/>
        </w:rPr>
        <w:t>Interim Finance Program</w:t>
      </w:r>
    </w:p>
    <w:p w14:paraId="41381D5C" w14:textId="77777777" w:rsidR="00C07AD5" w:rsidRDefault="00C07AD5" w:rsidP="00C07AD5">
      <w:pPr>
        <w:ind w:left="720"/>
      </w:pPr>
      <w:r>
        <w:t xml:space="preserve">Interim Finance </w:t>
      </w:r>
      <w:proofErr w:type="gramStart"/>
      <w:r>
        <w:t>thru</w:t>
      </w:r>
      <w:proofErr w:type="gramEnd"/>
      <w:r>
        <w:t xml:space="preserve"> </w:t>
      </w:r>
      <w:proofErr w:type="spellStart"/>
      <w:r>
        <w:t>NRWA</w:t>
      </w:r>
      <w:proofErr w:type="spellEnd"/>
      <w:r>
        <w:t xml:space="preserve"> &amp; USDA</w:t>
      </w:r>
    </w:p>
    <w:p w14:paraId="1787EEFA" w14:textId="255F6CD2" w:rsidR="00384D6F" w:rsidRPr="005E5F5F" w:rsidRDefault="00384D6F" w:rsidP="00384D6F">
      <w:pPr>
        <w:rPr>
          <w:b/>
          <w:bCs/>
          <w:color w:val="0000CC"/>
          <w:sz w:val="28"/>
          <w:szCs w:val="28"/>
        </w:rPr>
      </w:pPr>
      <w:r w:rsidRPr="005E5F5F">
        <w:rPr>
          <w:b/>
          <w:bCs/>
          <w:color w:val="0000CC"/>
          <w:sz w:val="28"/>
          <w:szCs w:val="28"/>
        </w:rPr>
        <w:t>Utility Operation</w:t>
      </w:r>
      <w:r>
        <w:rPr>
          <w:b/>
          <w:bCs/>
          <w:color w:val="0000CC"/>
          <w:sz w:val="28"/>
          <w:szCs w:val="28"/>
        </w:rPr>
        <w:t xml:space="preserve"> &amp; </w:t>
      </w:r>
      <w:r w:rsidRPr="005E5F5F">
        <w:rPr>
          <w:b/>
          <w:bCs/>
          <w:color w:val="0000CC"/>
          <w:sz w:val="28"/>
          <w:szCs w:val="28"/>
        </w:rPr>
        <w:t>Compliance Assistance</w:t>
      </w:r>
    </w:p>
    <w:p w14:paraId="57E2F3EA" w14:textId="77777777" w:rsidR="00384D6F" w:rsidRPr="005E5F5F" w:rsidRDefault="00384D6F" w:rsidP="008426C2">
      <w:pPr>
        <w:ind w:left="720"/>
      </w:pPr>
      <w:r w:rsidRPr="005E5F5F">
        <w:t>Customer Relations / Services</w:t>
      </w:r>
    </w:p>
    <w:p w14:paraId="38B43C56" w14:textId="77777777" w:rsidR="00384D6F" w:rsidRPr="005E5F5F" w:rsidRDefault="00384D6F" w:rsidP="008426C2">
      <w:pPr>
        <w:ind w:left="720"/>
      </w:pPr>
      <w:r w:rsidRPr="005E5F5F">
        <w:t>Public Notices / Consumer Confidence Reports</w:t>
      </w:r>
    </w:p>
    <w:p w14:paraId="757B9165" w14:textId="77777777" w:rsidR="00384D6F" w:rsidRPr="005E5F5F" w:rsidRDefault="00384D6F" w:rsidP="008426C2">
      <w:pPr>
        <w:ind w:left="720"/>
      </w:pPr>
      <w:r w:rsidRPr="005E5F5F">
        <w:t>Operation &amp; Maintenance Manuals</w:t>
      </w:r>
    </w:p>
    <w:p w14:paraId="2085CDF3" w14:textId="77777777" w:rsidR="00384D6F" w:rsidRPr="005E5F5F" w:rsidRDefault="00384D6F" w:rsidP="008426C2">
      <w:pPr>
        <w:ind w:left="720"/>
      </w:pPr>
      <w:r w:rsidRPr="005E5F5F">
        <w:t>Emergency Response Planning</w:t>
      </w:r>
    </w:p>
    <w:p w14:paraId="483A994D" w14:textId="77777777" w:rsidR="00384D6F" w:rsidRPr="005E5F5F" w:rsidRDefault="00384D6F" w:rsidP="008426C2">
      <w:pPr>
        <w:ind w:left="720"/>
      </w:pPr>
      <w:r w:rsidRPr="005E5F5F">
        <w:t>DEP Rule Compliance Issues</w:t>
      </w:r>
    </w:p>
    <w:p w14:paraId="6C5B74C5" w14:textId="77777777" w:rsidR="00384D6F" w:rsidRDefault="00384D6F" w:rsidP="00C07AD5">
      <w:pPr>
        <w:ind w:left="720"/>
      </w:pPr>
    </w:p>
    <w:sectPr w:rsidR="00384D6F" w:rsidSect="00626E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101"/>
    <w:multiLevelType w:val="multilevel"/>
    <w:tmpl w:val="089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D7C29"/>
    <w:multiLevelType w:val="multilevel"/>
    <w:tmpl w:val="269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A0E22"/>
    <w:multiLevelType w:val="multilevel"/>
    <w:tmpl w:val="A71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A5169"/>
    <w:multiLevelType w:val="hybridMultilevel"/>
    <w:tmpl w:val="69F8C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4498D"/>
    <w:multiLevelType w:val="multilevel"/>
    <w:tmpl w:val="AFFE2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66BB3"/>
    <w:multiLevelType w:val="multilevel"/>
    <w:tmpl w:val="2534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40594"/>
    <w:multiLevelType w:val="multilevel"/>
    <w:tmpl w:val="7CD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F2653"/>
    <w:multiLevelType w:val="multilevel"/>
    <w:tmpl w:val="D6B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B44D0A"/>
    <w:multiLevelType w:val="multilevel"/>
    <w:tmpl w:val="61B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979389">
    <w:abstractNumId w:val="4"/>
  </w:num>
  <w:num w:numId="2" w16cid:durableId="383723773">
    <w:abstractNumId w:val="3"/>
  </w:num>
  <w:num w:numId="3" w16cid:durableId="749078720">
    <w:abstractNumId w:val="6"/>
  </w:num>
  <w:num w:numId="4" w16cid:durableId="697582255">
    <w:abstractNumId w:val="2"/>
  </w:num>
  <w:num w:numId="5" w16cid:durableId="996423648">
    <w:abstractNumId w:val="8"/>
  </w:num>
  <w:num w:numId="6" w16cid:durableId="24720447">
    <w:abstractNumId w:val="7"/>
  </w:num>
  <w:num w:numId="7" w16cid:durableId="268584280">
    <w:abstractNumId w:val="0"/>
  </w:num>
  <w:num w:numId="8" w16cid:durableId="1572621618">
    <w:abstractNumId w:val="1"/>
  </w:num>
  <w:num w:numId="9" w16cid:durableId="1409377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4B"/>
    <w:rsid w:val="000052A6"/>
    <w:rsid w:val="00024ABC"/>
    <w:rsid w:val="00121E46"/>
    <w:rsid w:val="00167F30"/>
    <w:rsid w:val="00195918"/>
    <w:rsid w:val="002B1A92"/>
    <w:rsid w:val="0030215A"/>
    <w:rsid w:val="00303C7A"/>
    <w:rsid w:val="00322DA4"/>
    <w:rsid w:val="00377BF9"/>
    <w:rsid w:val="00384D6F"/>
    <w:rsid w:val="003C54E7"/>
    <w:rsid w:val="0053286C"/>
    <w:rsid w:val="0053702F"/>
    <w:rsid w:val="00541066"/>
    <w:rsid w:val="00570EC5"/>
    <w:rsid w:val="005A6766"/>
    <w:rsid w:val="005F1ECB"/>
    <w:rsid w:val="0061471A"/>
    <w:rsid w:val="00626E4B"/>
    <w:rsid w:val="00643595"/>
    <w:rsid w:val="0067213F"/>
    <w:rsid w:val="006F3BF5"/>
    <w:rsid w:val="008426C2"/>
    <w:rsid w:val="008E6472"/>
    <w:rsid w:val="00AB5B80"/>
    <w:rsid w:val="00C07AD5"/>
    <w:rsid w:val="00DB364A"/>
    <w:rsid w:val="00DE0AE0"/>
    <w:rsid w:val="00DF02DD"/>
    <w:rsid w:val="00E8702B"/>
    <w:rsid w:val="00ED7801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B521"/>
  <w15:chartTrackingRefBased/>
  <w15:docId w15:val="{3F37B958-3B0D-46EB-A4FA-DF53A75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E7"/>
  </w:style>
  <w:style w:type="paragraph" w:styleId="Heading1">
    <w:name w:val="heading 1"/>
    <w:basedOn w:val="Normal"/>
    <w:next w:val="Normal"/>
    <w:link w:val="Heading1Char"/>
    <w:uiPriority w:val="9"/>
    <w:qFormat/>
    <w:rsid w:val="0062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E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6E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ts.noviams.com/novi-file-uploads/frwa/pdfs-and-documents/frwawhitepaperprojectconstmgmt101082114-14090586.pdf" TargetMode="External"/><Relationship Id="rId18" Type="http://schemas.openxmlformats.org/officeDocument/2006/relationships/hyperlink" Target="https://www.epa.gov/watersense/understanding-your-water-bill" TargetMode="External"/><Relationship Id="rId26" Type="http://schemas.openxmlformats.org/officeDocument/2006/relationships/hyperlink" Target="https://nepis.epa.gov/Exe/ZyPDF.cgi/00000KO7.PDF?Dockey=00000KO7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ssets.noviams.com/novi-file-uploads/frwa/pdfs-and-documents/frwawhitepaperprojectconstmgmt101082114-14090586.pdf" TargetMode="External"/><Relationship Id="rId34" Type="http://schemas.openxmlformats.org/officeDocument/2006/relationships/hyperlink" Target="https://nepis.epa.gov/Exe/ZyPDF.cgi/60000F0Q.PDF?Dockey=60000F0Q.PDF" TargetMode="External"/><Relationship Id="rId7" Type="http://schemas.openxmlformats.org/officeDocument/2006/relationships/hyperlink" Target="https://www.epa.gov/dwcapacity/technical-managerial-and-financial-tmf-capacity-resources-small-drinking-water-systems" TargetMode="External"/><Relationship Id="rId12" Type="http://schemas.openxmlformats.org/officeDocument/2006/relationships/hyperlink" Target="https://assets.noviams.com/novi-file-uploads/frwa/pdfs-and-documents/frwawhitepaper1enterprise_fund_transfers-032408-1520a787.doc" TargetMode="External"/><Relationship Id="rId17" Type="http://schemas.openxmlformats.org/officeDocument/2006/relationships/hyperlink" Target="https://www.epa.gov/system/files/documents/2022-06/FINAL%20Sustainable%20Water%20Rate%20STEP%20Guide_508.pdf" TargetMode="External"/><Relationship Id="rId25" Type="http://schemas.openxmlformats.org/officeDocument/2006/relationships/hyperlink" Target="https://nepis.epa.gov/Exe/ZyPDF.cgi/00000KNR.PDF?Dockey=00000KNR.PDF" TargetMode="External"/><Relationship Id="rId33" Type="http://schemas.openxmlformats.org/officeDocument/2006/relationships/hyperlink" Target="https://nepis.epa.gov/Exe/ZyPDF.cgi/P10052AU.PDF?Dockey=P10052AU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sets.noviams.com/novi-file-uploads/frwa/pdfs-and-documents/frwawhitepaper2impending_infrastructure_expenditure_gap032408-109a59f2.doc" TargetMode="External"/><Relationship Id="rId20" Type="http://schemas.openxmlformats.org/officeDocument/2006/relationships/hyperlink" Target="https://assets.noviams.com/novi-file-uploads/frwa/pdfs-and-documents/frwawhitepaper1enterprise_fund_transfers-032408-1520a787.doc" TargetMode="External"/><Relationship Id="rId29" Type="http://schemas.openxmlformats.org/officeDocument/2006/relationships/hyperlink" Target="https://www.epa.gov/waterfinancecenter/compendium-drinking-water-and-wastewater-customer-assistance-progra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.gov/sustainable-water-infrastructure/effective-water-utility-management-practices" TargetMode="External"/><Relationship Id="rId11" Type="http://schemas.openxmlformats.org/officeDocument/2006/relationships/hyperlink" Target="https://assets.noviams.com/novi-file-uploads/frwa/pdfs-and-documents/frwawhitepaperdisreconnectionfees012010-4313d702.pdf" TargetMode="External"/><Relationship Id="rId24" Type="http://schemas.openxmlformats.org/officeDocument/2006/relationships/hyperlink" Target="https://nepis.epa.gov/Exe/ZyPDF.cgi/P1002ODV.PDF?Dockey=P1002ODV.PDF" TargetMode="External"/><Relationship Id="rId32" Type="http://schemas.openxmlformats.org/officeDocument/2006/relationships/hyperlink" Target="https://nepis.epa.gov/Exe/ZyPDF.cgi/901U1200.PDF?Dockey=901U1200.PDF" TargetMode="External"/><Relationship Id="rId37" Type="http://schemas.openxmlformats.org/officeDocument/2006/relationships/hyperlink" Target="https://www.frwa.net/contact-us" TargetMode="External"/><Relationship Id="rId5" Type="http://schemas.openxmlformats.org/officeDocument/2006/relationships/hyperlink" Target="http://www.epa.gov/system/files/documents/2024-08/eum-primer.pdf" TargetMode="External"/><Relationship Id="rId15" Type="http://schemas.openxmlformats.org/officeDocument/2006/relationships/hyperlink" Target="https://assets.noviams.com/novi-file-uploads/frwa/pdfs-and-documents/fullcostpricing071513-84cf9a8c.pdf" TargetMode="External"/><Relationship Id="rId23" Type="http://schemas.openxmlformats.org/officeDocument/2006/relationships/hyperlink" Target="https://assets.noviams.com/novi-file-uploads/frwa/pdfs-and-documents/frwawhitepaper2impending_infrastructure_expenditure_gap032408-109a59f2.doc" TargetMode="External"/><Relationship Id="rId28" Type="http://schemas.openxmlformats.org/officeDocument/2006/relationships/hyperlink" Target="https://www.epa.gov/waterfinancecenter/water-finance-webinars-and-forums" TargetMode="External"/><Relationship Id="rId36" Type="http://schemas.openxmlformats.org/officeDocument/2006/relationships/hyperlink" Target="https://www.frwa.net/contact-us" TargetMode="External"/><Relationship Id="rId10" Type="http://schemas.openxmlformats.org/officeDocument/2006/relationships/hyperlink" Target="https://assets.noviams.com/novi-file-uploads/frwa/pdfs-and-documents/frwa_waterboardhandbook_draft_2013-52662d51.pdf" TargetMode="External"/><Relationship Id="rId19" Type="http://schemas.openxmlformats.org/officeDocument/2006/relationships/hyperlink" Target="https://assets.noviams.com/novi-file-uploads/frwa/pdfs-and-documents/frwawhitepaperdisreconnectionfees012010-4313d702.pdf" TargetMode="External"/><Relationship Id="rId31" Type="http://schemas.openxmlformats.org/officeDocument/2006/relationships/hyperlink" Target="https://nepis.epa.gov/Exe/ZyPDF.cgi/20017JTZ.PDF?Dockey=20017JT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noviams.com/novi-file-uploads/frwa/pdfs-and-documents/publicrelationideas060713-45f6bc83.doc" TargetMode="External"/><Relationship Id="rId14" Type="http://schemas.openxmlformats.org/officeDocument/2006/relationships/hyperlink" Target="https://assets.noviams.com/novi-file-uploads/frwa/pdfs-and-documents/frwawhitepaper4ratemaking032408-112be5dc.doc" TargetMode="External"/><Relationship Id="rId22" Type="http://schemas.openxmlformats.org/officeDocument/2006/relationships/hyperlink" Target="https://assets.noviams.com/novi-file-uploads/frwa/pdfs-and-documents/frwawhitepaper4ratemaking032408-112be5dc.doc" TargetMode="External"/><Relationship Id="rId27" Type="http://schemas.openxmlformats.org/officeDocument/2006/relationships/hyperlink" Target="https://www.naruc.org/" TargetMode="External"/><Relationship Id="rId30" Type="http://schemas.openxmlformats.org/officeDocument/2006/relationships/hyperlink" Target="https://www.epa.gov/system/files/documents/2021-07/ws-assistance-that-saves-efficiency-and-affordability.pdf" TargetMode="External"/><Relationship Id="rId35" Type="http://schemas.openxmlformats.org/officeDocument/2006/relationships/hyperlink" Target="https://assets.noviams.com/novi-file-uploads/frwa/pdfs-and-documents/fullcostpricing071513-84cf9a8c.pdf" TargetMode="External"/><Relationship Id="rId8" Type="http://schemas.openxmlformats.org/officeDocument/2006/relationships/hyperlink" Target="https://assets.noviams.com/novi-file-uploads/frwa/pdfs-and-documents/dwnewwatersystemstartupchecklist053013-20bebc03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Carroll</dc:creator>
  <cp:keywords/>
  <dc:description/>
  <cp:lastModifiedBy>Sterling Carroll</cp:lastModifiedBy>
  <cp:revision>10</cp:revision>
  <dcterms:created xsi:type="dcterms:W3CDTF">2025-01-17T21:41:00Z</dcterms:created>
  <dcterms:modified xsi:type="dcterms:W3CDTF">2025-02-12T21:44:00Z</dcterms:modified>
</cp:coreProperties>
</file>