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0FB5" w14:textId="77D339F4" w:rsidR="001758CF" w:rsidRPr="001758CF" w:rsidRDefault="001758CF" w:rsidP="00C2359E">
      <w:pPr>
        <w:spacing w:after="0" w:line="240" w:lineRule="auto"/>
        <w:jc w:val="center"/>
        <w:rPr>
          <w:rFonts w:ascii="Source Sans Pro SemiBold" w:hAnsi="Source Sans Pro SemiBold" w:cs="Times New Roman"/>
          <w:sz w:val="32"/>
          <w:szCs w:val="32"/>
          <w:u w:val="single"/>
        </w:rPr>
      </w:pPr>
      <w:r w:rsidRPr="001758CF">
        <w:rPr>
          <w:rFonts w:ascii="Source Sans Pro SemiBold" w:hAnsi="Source Sans Pro SemiBold" w:cs="Times New Roman"/>
          <w:sz w:val="32"/>
          <w:szCs w:val="32"/>
          <w:u w:val="single"/>
        </w:rPr>
        <w:t xml:space="preserve">Background on Farm Labor Contractors and </w:t>
      </w:r>
      <w:r w:rsidR="003305D4">
        <w:rPr>
          <w:rFonts w:ascii="Source Sans Pro SemiBold" w:hAnsi="Source Sans Pro SemiBold" w:cs="Times New Roman"/>
          <w:sz w:val="32"/>
          <w:szCs w:val="32"/>
          <w:u w:val="single"/>
        </w:rPr>
        <w:t xml:space="preserve">DLSE </w:t>
      </w:r>
      <w:r w:rsidRPr="001758CF">
        <w:rPr>
          <w:rFonts w:ascii="Source Sans Pro SemiBold" w:hAnsi="Source Sans Pro SemiBold" w:cs="Times New Roman"/>
          <w:sz w:val="32"/>
          <w:szCs w:val="32"/>
          <w:u w:val="single"/>
        </w:rPr>
        <w:t>Licensing Concerns</w:t>
      </w:r>
    </w:p>
    <w:p w14:paraId="0769B3D8" w14:textId="7D252CA6" w:rsidR="00CE3580" w:rsidRDefault="00CE3580" w:rsidP="00C2359E">
      <w:pPr>
        <w:spacing w:after="0" w:line="240" w:lineRule="auto"/>
        <w:rPr>
          <w:rFonts w:ascii="Times New Roman" w:hAnsi="Times New Roman" w:cs="Times New Roman"/>
          <w:sz w:val="24"/>
          <w:szCs w:val="24"/>
        </w:rPr>
      </w:pPr>
    </w:p>
    <w:p w14:paraId="6CA090A5" w14:textId="77777777" w:rsidR="00D25ED2" w:rsidRPr="0043013D" w:rsidRDefault="00D25ED2" w:rsidP="00D25ED2">
      <w:pPr>
        <w:spacing w:after="120" w:line="240" w:lineRule="auto"/>
        <w:jc w:val="center"/>
        <w:rPr>
          <w:rFonts w:ascii="Source Sans Pro SemiBold" w:hAnsi="Source Sans Pro SemiBold" w:cs="Times New Roman"/>
          <w:sz w:val="28"/>
          <w:szCs w:val="28"/>
        </w:rPr>
      </w:pPr>
      <w:bookmarkStart w:id="0" w:name="_Hlk112747068"/>
      <w:r w:rsidRPr="0043013D">
        <w:rPr>
          <w:rFonts w:ascii="Source Sans Pro SemiBold" w:hAnsi="Source Sans Pro SemiBold" w:cs="Times New Roman"/>
          <w:sz w:val="28"/>
          <w:szCs w:val="28"/>
        </w:rPr>
        <w:t>Impact of FLCs in California</w:t>
      </w:r>
    </w:p>
    <w:tbl>
      <w:tblPr>
        <w:tblStyle w:val="TableGrid"/>
        <w:tblW w:w="10705" w:type="dxa"/>
        <w:jc w:val="center"/>
        <w:tblLook w:val="04A0" w:firstRow="1" w:lastRow="0" w:firstColumn="1" w:lastColumn="0" w:noHBand="0" w:noVBand="1"/>
      </w:tblPr>
      <w:tblGrid>
        <w:gridCol w:w="805"/>
        <w:gridCol w:w="1980"/>
        <w:gridCol w:w="2340"/>
        <w:gridCol w:w="2250"/>
        <w:gridCol w:w="3330"/>
      </w:tblGrid>
      <w:tr w:rsidR="00D25ED2" w:rsidRPr="00915E84" w14:paraId="73CD9D95" w14:textId="77777777" w:rsidTr="00E40356">
        <w:trPr>
          <w:jc w:val="center"/>
        </w:trPr>
        <w:tc>
          <w:tcPr>
            <w:tcW w:w="805" w:type="dxa"/>
          </w:tcPr>
          <w:p w14:paraId="53121E3A" w14:textId="77777777" w:rsidR="00D25ED2" w:rsidRPr="00915E84" w:rsidRDefault="00D25ED2" w:rsidP="00E40356">
            <w:pPr>
              <w:jc w:val="center"/>
              <w:rPr>
                <w:rFonts w:ascii="Source Sans Pro" w:hAnsi="Source Sans Pro" w:cs="Times New Roman"/>
                <w:b/>
                <w:bCs/>
                <w:sz w:val="24"/>
                <w:szCs w:val="24"/>
              </w:rPr>
            </w:pPr>
            <w:bookmarkStart w:id="1" w:name="_Hlk114660491"/>
            <w:r w:rsidRPr="00915E84">
              <w:rPr>
                <w:rFonts w:ascii="Source Sans Pro" w:hAnsi="Source Sans Pro" w:cs="Times New Roman"/>
                <w:b/>
                <w:bCs/>
                <w:sz w:val="24"/>
                <w:szCs w:val="24"/>
              </w:rPr>
              <w:t>Year</w:t>
            </w:r>
          </w:p>
        </w:tc>
        <w:tc>
          <w:tcPr>
            <w:tcW w:w="1980" w:type="dxa"/>
          </w:tcPr>
          <w:p w14:paraId="791E6F08" w14:textId="77777777" w:rsidR="00D25ED2" w:rsidRDefault="00D25ED2" w:rsidP="00E40356">
            <w:pPr>
              <w:jc w:val="center"/>
              <w:rPr>
                <w:rFonts w:ascii="Source Sans Pro" w:hAnsi="Source Sans Pro" w:cs="Times New Roman"/>
                <w:b/>
                <w:bCs/>
                <w:sz w:val="24"/>
                <w:szCs w:val="24"/>
              </w:rPr>
            </w:pPr>
            <w:r w:rsidRPr="00915E84">
              <w:rPr>
                <w:rFonts w:ascii="Source Sans Pro" w:hAnsi="Source Sans Pro" w:cs="Times New Roman"/>
                <w:b/>
                <w:bCs/>
                <w:sz w:val="24"/>
                <w:szCs w:val="24"/>
              </w:rPr>
              <w:t xml:space="preserve">Number of </w:t>
            </w:r>
            <w:r>
              <w:rPr>
                <w:rFonts w:ascii="Source Sans Pro" w:hAnsi="Source Sans Pro" w:cs="Times New Roman"/>
                <w:b/>
                <w:bCs/>
                <w:sz w:val="24"/>
                <w:szCs w:val="24"/>
              </w:rPr>
              <w:t>FLCs</w:t>
            </w:r>
          </w:p>
        </w:tc>
        <w:tc>
          <w:tcPr>
            <w:tcW w:w="2340" w:type="dxa"/>
          </w:tcPr>
          <w:p w14:paraId="1F968F8D" w14:textId="77777777" w:rsidR="00D25ED2" w:rsidRDefault="00D25ED2" w:rsidP="00E40356">
            <w:pPr>
              <w:jc w:val="center"/>
              <w:rPr>
                <w:rFonts w:ascii="Source Sans Pro" w:hAnsi="Source Sans Pro" w:cs="Times New Roman"/>
                <w:b/>
                <w:bCs/>
                <w:sz w:val="24"/>
                <w:szCs w:val="24"/>
              </w:rPr>
            </w:pPr>
            <w:r>
              <w:rPr>
                <w:rFonts w:ascii="Source Sans Pro" w:hAnsi="Source Sans Pro" w:cs="Times New Roman"/>
                <w:b/>
                <w:bCs/>
                <w:sz w:val="24"/>
                <w:szCs w:val="24"/>
              </w:rPr>
              <w:t>FLC Employees</w:t>
            </w:r>
          </w:p>
        </w:tc>
        <w:tc>
          <w:tcPr>
            <w:tcW w:w="2250" w:type="dxa"/>
          </w:tcPr>
          <w:p w14:paraId="6E0DE19F" w14:textId="77777777" w:rsidR="00D25ED2" w:rsidRDefault="00D25ED2" w:rsidP="00E40356">
            <w:pPr>
              <w:jc w:val="center"/>
              <w:rPr>
                <w:rFonts w:ascii="Source Sans Pro" w:hAnsi="Source Sans Pro" w:cs="Times New Roman"/>
                <w:b/>
                <w:bCs/>
                <w:sz w:val="24"/>
                <w:szCs w:val="24"/>
              </w:rPr>
            </w:pPr>
            <w:r w:rsidRPr="00915E84">
              <w:rPr>
                <w:rFonts w:ascii="Source Sans Pro" w:hAnsi="Source Sans Pro" w:cs="Times New Roman"/>
                <w:b/>
                <w:bCs/>
                <w:sz w:val="24"/>
                <w:szCs w:val="24"/>
              </w:rPr>
              <w:t>Total Wages</w:t>
            </w:r>
          </w:p>
        </w:tc>
        <w:tc>
          <w:tcPr>
            <w:tcW w:w="3330" w:type="dxa"/>
          </w:tcPr>
          <w:p w14:paraId="259582F4" w14:textId="77777777" w:rsidR="00D25ED2" w:rsidRDefault="00D25ED2" w:rsidP="00E40356">
            <w:pPr>
              <w:jc w:val="center"/>
              <w:rPr>
                <w:rFonts w:ascii="Source Sans Pro" w:hAnsi="Source Sans Pro" w:cs="Times New Roman"/>
                <w:b/>
                <w:bCs/>
                <w:sz w:val="24"/>
                <w:szCs w:val="24"/>
              </w:rPr>
            </w:pPr>
            <w:r>
              <w:rPr>
                <w:rFonts w:ascii="Source Sans Pro" w:hAnsi="Source Sans Pro" w:cs="Times New Roman"/>
                <w:b/>
                <w:bCs/>
                <w:sz w:val="24"/>
                <w:szCs w:val="24"/>
              </w:rPr>
              <w:t>FLC Employees vs. Overall Ag</w:t>
            </w:r>
          </w:p>
        </w:tc>
      </w:tr>
      <w:tr w:rsidR="00D25ED2" w:rsidRPr="00915E84" w14:paraId="5A3FA8C9" w14:textId="77777777" w:rsidTr="00E40356">
        <w:trPr>
          <w:jc w:val="center"/>
        </w:trPr>
        <w:tc>
          <w:tcPr>
            <w:tcW w:w="805" w:type="dxa"/>
          </w:tcPr>
          <w:p w14:paraId="32236041" w14:textId="77777777" w:rsidR="00D25ED2" w:rsidRPr="00915E84" w:rsidRDefault="00D25ED2" w:rsidP="00E40356">
            <w:pPr>
              <w:rPr>
                <w:rFonts w:ascii="Source Sans Pro" w:hAnsi="Source Sans Pro" w:cs="Times New Roman"/>
                <w:sz w:val="24"/>
                <w:szCs w:val="24"/>
              </w:rPr>
            </w:pPr>
            <w:r w:rsidRPr="00915E84">
              <w:rPr>
                <w:rFonts w:ascii="Source Sans Pro" w:hAnsi="Source Sans Pro" w:cs="Times New Roman"/>
                <w:sz w:val="24"/>
                <w:szCs w:val="24"/>
              </w:rPr>
              <w:t>2</w:t>
            </w:r>
            <w:r>
              <w:rPr>
                <w:rFonts w:ascii="Source Sans Pro" w:hAnsi="Source Sans Pro" w:cs="Times New Roman"/>
                <w:sz w:val="24"/>
                <w:szCs w:val="24"/>
              </w:rPr>
              <w:t>0</w:t>
            </w:r>
            <w:r w:rsidRPr="00915E84">
              <w:rPr>
                <w:rFonts w:ascii="Source Sans Pro" w:hAnsi="Source Sans Pro" w:cs="Times New Roman"/>
                <w:sz w:val="24"/>
                <w:szCs w:val="24"/>
              </w:rPr>
              <w:t>21*</w:t>
            </w:r>
          </w:p>
        </w:tc>
        <w:tc>
          <w:tcPr>
            <w:tcW w:w="1980" w:type="dxa"/>
          </w:tcPr>
          <w:p w14:paraId="123072A9"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1,504</w:t>
            </w:r>
          </w:p>
        </w:tc>
        <w:tc>
          <w:tcPr>
            <w:tcW w:w="2340" w:type="dxa"/>
          </w:tcPr>
          <w:p w14:paraId="67AB7716"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146,300</w:t>
            </w:r>
          </w:p>
        </w:tc>
        <w:tc>
          <w:tcPr>
            <w:tcW w:w="2250" w:type="dxa"/>
          </w:tcPr>
          <w:p w14:paraId="380481F3"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$4,603,395,471</w:t>
            </w:r>
          </w:p>
        </w:tc>
        <w:tc>
          <w:tcPr>
            <w:tcW w:w="3330" w:type="dxa"/>
          </w:tcPr>
          <w:p w14:paraId="1FFA23E4" w14:textId="77777777" w:rsidR="00D25ED2" w:rsidRPr="00915E84" w:rsidRDefault="00D25ED2" w:rsidP="00E40356">
            <w:pPr>
              <w:jc w:val="center"/>
              <w:rPr>
                <w:rFonts w:ascii="Source Sans Pro" w:hAnsi="Source Sans Pro" w:cs="Times New Roman"/>
                <w:sz w:val="24"/>
                <w:szCs w:val="24"/>
              </w:rPr>
            </w:pPr>
            <w:r>
              <w:rPr>
                <w:rFonts w:ascii="Source Sans Pro" w:hAnsi="Source Sans Pro" w:cs="Times New Roman"/>
                <w:sz w:val="24"/>
                <w:szCs w:val="24"/>
              </w:rPr>
              <w:t>36.2%</w:t>
            </w:r>
          </w:p>
        </w:tc>
      </w:tr>
      <w:tr w:rsidR="00D25ED2" w:rsidRPr="00915E84" w14:paraId="5FF12505" w14:textId="77777777" w:rsidTr="00E40356">
        <w:trPr>
          <w:jc w:val="center"/>
        </w:trPr>
        <w:tc>
          <w:tcPr>
            <w:tcW w:w="805" w:type="dxa"/>
          </w:tcPr>
          <w:p w14:paraId="573B0162" w14:textId="77777777" w:rsidR="00D25ED2" w:rsidRPr="00915E84" w:rsidRDefault="00D25ED2" w:rsidP="00E40356">
            <w:pPr>
              <w:rPr>
                <w:rFonts w:ascii="Source Sans Pro" w:hAnsi="Source Sans Pro" w:cs="Times New Roman"/>
                <w:sz w:val="24"/>
                <w:szCs w:val="24"/>
              </w:rPr>
            </w:pPr>
            <w:r w:rsidRPr="00915E84">
              <w:rPr>
                <w:rFonts w:ascii="Source Sans Pro" w:hAnsi="Source Sans Pro" w:cs="Times New Roman"/>
                <w:sz w:val="24"/>
                <w:szCs w:val="24"/>
              </w:rPr>
              <w:t>2020</w:t>
            </w:r>
          </w:p>
        </w:tc>
        <w:tc>
          <w:tcPr>
            <w:tcW w:w="1980" w:type="dxa"/>
          </w:tcPr>
          <w:p w14:paraId="0DB0E8B1"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1,513</w:t>
            </w:r>
          </w:p>
        </w:tc>
        <w:tc>
          <w:tcPr>
            <w:tcW w:w="2340" w:type="dxa"/>
          </w:tcPr>
          <w:p w14:paraId="56DB8AD7"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142,697</w:t>
            </w:r>
          </w:p>
        </w:tc>
        <w:tc>
          <w:tcPr>
            <w:tcW w:w="2250" w:type="dxa"/>
          </w:tcPr>
          <w:p w14:paraId="3F6A5151"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$4,348,023,289</w:t>
            </w:r>
          </w:p>
        </w:tc>
        <w:tc>
          <w:tcPr>
            <w:tcW w:w="3330" w:type="dxa"/>
          </w:tcPr>
          <w:p w14:paraId="6CBE69E3" w14:textId="77777777" w:rsidR="00D25ED2" w:rsidRPr="00915E84" w:rsidRDefault="00D25ED2" w:rsidP="00E40356">
            <w:pPr>
              <w:jc w:val="center"/>
              <w:rPr>
                <w:rFonts w:ascii="Source Sans Pro" w:hAnsi="Source Sans Pro" w:cs="Times New Roman"/>
                <w:sz w:val="24"/>
                <w:szCs w:val="24"/>
              </w:rPr>
            </w:pPr>
            <w:r>
              <w:rPr>
                <w:rFonts w:ascii="Source Sans Pro" w:hAnsi="Source Sans Pro" w:cs="Times New Roman"/>
                <w:sz w:val="24"/>
                <w:szCs w:val="24"/>
              </w:rPr>
              <w:t>35.3%</w:t>
            </w:r>
          </w:p>
        </w:tc>
      </w:tr>
      <w:tr w:rsidR="00D25ED2" w:rsidRPr="00915E84" w14:paraId="4DB82D51" w14:textId="77777777" w:rsidTr="00E40356">
        <w:trPr>
          <w:jc w:val="center"/>
        </w:trPr>
        <w:tc>
          <w:tcPr>
            <w:tcW w:w="805" w:type="dxa"/>
          </w:tcPr>
          <w:p w14:paraId="41261EE3" w14:textId="77777777" w:rsidR="00D25ED2" w:rsidRPr="00915E84" w:rsidRDefault="00D25ED2" w:rsidP="00E40356">
            <w:pPr>
              <w:rPr>
                <w:rFonts w:ascii="Source Sans Pro" w:hAnsi="Source Sans Pro" w:cs="Times New Roman"/>
                <w:sz w:val="24"/>
                <w:szCs w:val="24"/>
              </w:rPr>
            </w:pPr>
            <w:r w:rsidRPr="00915E84">
              <w:rPr>
                <w:rFonts w:ascii="Source Sans Pro" w:hAnsi="Source Sans Pro" w:cs="Times New Roman"/>
                <w:sz w:val="24"/>
                <w:szCs w:val="24"/>
              </w:rPr>
              <w:t>2019</w:t>
            </w:r>
          </w:p>
        </w:tc>
        <w:tc>
          <w:tcPr>
            <w:tcW w:w="1980" w:type="dxa"/>
          </w:tcPr>
          <w:p w14:paraId="6E7BBDC8"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1,454</w:t>
            </w:r>
          </w:p>
        </w:tc>
        <w:tc>
          <w:tcPr>
            <w:tcW w:w="2340" w:type="dxa"/>
          </w:tcPr>
          <w:p w14:paraId="1C2CA143"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150,587</w:t>
            </w:r>
          </w:p>
        </w:tc>
        <w:tc>
          <w:tcPr>
            <w:tcW w:w="2250" w:type="dxa"/>
          </w:tcPr>
          <w:p w14:paraId="773347B3"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$4,201,279,145</w:t>
            </w:r>
          </w:p>
        </w:tc>
        <w:tc>
          <w:tcPr>
            <w:tcW w:w="3330" w:type="dxa"/>
          </w:tcPr>
          <w:p w14:paraId="05529F5C" w14:textId="77777777" w:rsidR="00D25ED2" w:rsidRPr="00915E84" w:rsidRDefault="00D25ED2" w:rsidP="00E40356">
            <w:pPr>
              <w:jc w:val="center"/>
              <w:rPr>
                <w:rFonts w:ascii="Source Sans Pro" w:hAnsi="Source Sans Pro" w:cs="Times New Roman"/>
                <w:sz w:val="24"/>
                <w:szCs w:val="24"/>
              </w:rPr>
            </w:pPr>
            <w:r>
              <w:rPr>
                <w:rFonts w:ascii="Source Sans Pro" w:hAnsi="Source Sans Pro" w:cs="Times New Roman"/>
                <w:sz w:val="24"/>
                <w:szCs w:val="24"/>
              </w:rPr>
              <w:t>35.9%</w:t>
            </w:r>
          </w:p>
        </w:tc>
      </w:tr>
      <w:tr w:rsidR="00D25ED2" w:rsidRPr="00915E84" w14:paraId="351FFF67" w14:textId="77777777" w:rsidTr="00E40356">
        <w:trPr>
          <w:jc w:val="center"/>
        </w:trPr>
        <w:tc>
          <w:tcPr>
            <w:tcW w:w="805" w:type="dxa"/>
          </w:tcPr>
          <w:p w14:paraId="2DAF4C4D" w14:textId="77777777" w:rsidR="00D25ED2" w:rsidRPr="00915E84" w:rsidRDefault="00D25ED2" w:rsidP="00E40356">
            <w:pPr>
              <w:rPr>
                <w:rFonts w:ascii="Source Sans Pro" w:hAnsi="Source Sans Pro" w:cs="Times New Roman"/>
                <w:sz w:val="24"/>
                <w:szCs w:val="24"/>
              </w:rPr>
            </w:pPr>
            <w:r w:rsidRPr="00915E84">
              <w:rPr>
                <w:rFonts w:ascii="Source Sans Pro" w:hAnsi="Source Sans Pro" w:cs="Times New Roman"/>
                <w:sz w:val="24"/>
                <w:szCs w:val="24"/>
              </w:rPr>
              <w:t>2018</w:t>
            </w:r>
          </w:p>
        </w:tc>
        <w:tc>
          <w:tcPr>
            <w:tcW w:w="1980" w:type="dxa"/>
          </w:tcPr>
          <w:p w14:paraId="390EF193"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1,397</w:t>
            </w:r>
          </w:p>
        </w:tc>
        <w:tc>
          <w:tcPr>
            <w:tcW w:w="2340" w:type="dxa"/>
          </w:tcPr>
          <w:p w14:paraId="0D5678CF"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147,625</w:t>
            </w:r>
          </w:p>
        </w:tc>
        <w:tc>
          <w:tcPr>
            <w:tcW w:w="2250" w:type="dxa"/>
          </w:tcPr>
          <w:p w14:paraId="49655FF6"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$3,842,956,232</w:t>
            </w:r>
          </w:p>
        </w:tc>
        <w:tc>
          <w:tcPr>
            <w:tcW w:w="3330" w:type="dxa"/>
          </w:tcPr>
          <w:p w14:paraId="511F3423" w14:textId="77777777" w:rsidR="00D25ED2" w:rsidRPr="00915E84" w:rsidRDefault="00D25ED2" w:rsidP="00E40356">
            <w:pPr>
              <w:jc w:val="center"/>
              <w:rPr>
                <w:rFonts w:ascii="Source Sans Pro" w:hAnsi="Source Sans Pro" w:cs="Times New Roman"/>
                <w:sz w:val="24"/>
                <w:szCs w:val="24"/>
              </w:rPr>
            </w:pPr>
            <w:r>
              <w:rPr>
                <w:rFonts w:ascii="Source Sans Pro" w:hAnsi="Source Sans Pro" w:cs="Times New Roman"/>
                <w:sz w:val="24"/>
                <w:szCs w:val="24"/>
              </w:rPr>
              <w:t>35.3%</w:t>
            </w:r>
          </w:p>
        </w:tc>
      </w:tr>
      <w:tr w:rsidR="00D25ED2" w:rsidRPr="00915E84" w14:paraId="7C0097FB" w14:textId="77777777" w:rsidTr="00E40356">
        <w:trPr>
          <w:jc w:val="center"/>
        </w:trPr>
        <w:tc>
          <w:tcPr>
            <w:tcW w:w="805" w:type="dxa"/>
          </w:tcPr>
          <w:p w14:paraId="2795E058" w14:textId="77777777" w:rsidR="00D25ED2" w:rsidRPr="00915E84" w:rsidRDefault="00D25ED2" w:rsidP="00E40356">
            <w:pPr>
              <w:rPr>
                <w:rFonts w:ascii="Source Sans Pro" w:hAnsi="Source Sans Pro" w:cs="Times New Roman"/>
                <w:sz w:val="24"/>
                <w:szCs w:val="24"/>
              </w:rPr>
            </w:pPr>
            <w:r w:rsidRPr="00915E84">
              <w:rPr>
                <w:rFonts w:ascii="Source Sans Pro" w:hAnsi="Source Sans Pro" w:cs="Times New Roman"/>
                <w:sz w:val="24"/>
                <w:szCs w:val="24"/>
              </w:rPr>
              <w:t>2017</w:t>
            </w:r>
          </w:p>
        </w:tc>
        <w:tc>
          <w:tcPr>
            <w:tcW w:w="1980" w:type="dxa"/>
          </w:tcPr>
          <w:p w14:paraId="3BCC6636"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1,263</w:t>
            </w:r>
          </w:p>
        </w:tc>
        <w:tc>
          <w:tcPr>
            <w:tcW w:w="2340" w:type="dxa"/>
          </w:tcPr>
          <w:p w14:paraId="2B7A0215"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143,727</w:t>
            </w:r>
          </w:p>
        </w:tc>
        <w:tc>
          <w:tcPr>
            <w:tcW w:w="2250" w:type="dxa"/>
          </w:tcPr>
          <w:p w14:paraId="02AE98A7"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$3,589,088,351</w:t>
            </w:r>
          </w:p>
        </w:tc>
        <w:tc>
          <w:tcPr>
            <w:tcW w:w="3330" w:type="dxa"/>
          </w:tcPr>
          <w:p w14:paraId="7F22FAE8" w14:textId="77777777" w:rsidR="00D25ED2" w:rsidRPr="00915E84" w:rsidRDefault="00D25ED2" w:rsidP="00E40356">
            <w:pPr>
              <w:jc w:val="center"/>
              <w:rPr>
                <w:rFonts w:ascii="Source Sans Pro" w:hAnsi="Source Sans Pro" w:cs="Times New Roman"/>
                <w:sz w:val="24"/>
                <w:szCs w:val="24"/>
              </w:rPr>
            </w:pPr>
            <w:r>
              <w:rPr>
                <w:rFonts w:ascii="Source Sans Pro" w:hAnsi="Source Sans Pro" w:cs="Times New Roman"/>
                <w:sz w:val="24"/>
                <w:szCs w:val="24"/>
              </w:rPr>
              <w:t>34.4%</w:t>
            </w:r>
          </w:p>
        </w:tc>
      </w:tr>
      <w:tr w:rsidR="00D25ED2" w:rsidRPr="00915E84" w14:paraId="37749117" w14:textId="77777777" w:rsidTr="00E40356">
        <w:trPr>
          <w:jc w:val="center"/>
        </w:trPr>
        <w:tc>
          <w:tcPr>
            <w:tcW w:w="805" w:type="dxa"/>
          </w:tcPr>
          <w:p w14:paraId="3DD37923" w14:textId="77777777" w:rsidR="00D25ED2" w:rsidRPr="00915E84" w:rsidRDefault="00D25ED2" w:rsidP="00E40356">
            <w:pPr>
              <w:rPr>
                <w:rFonts w:ascii="Source Sans Pro" w:hAnsi="Source Sans Pro" w:cs="Times New Roman"/>
                <w:sz w:val="24"/>
                <w:szCs w:val="24"/>
              </w:rPr>
            </w:pPr>
            <w:r w:rsidRPr="00915E84">
              <w:rPr>
                <w:rFonts w:ascii="Source Sans Pro" w:hAnsi="Source Sans Pro" w:cs="Times New Roman"/>
                <w:sz w:val="24"/>
                <w:szCs w:val="24"/>
              </w:rPr>
              <w:t>2016</w:t>
            </w:r>
          </w:p>
        </w:tc>
        <w:tc>
          <w:tcPr>
            <w:tcW w:w="1980" w:type="dxa"/>
          </w:tcPr>
          <w:p w14:paraId="74DAFE6A"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1,193</w:t>
            </w:r>
          </w:p>
        </w:tc>
        <w:tc>
          <w:tcPr>
            <w:tcW w:w="2340" w:type="dxa"/>
          </w:tcPr>
          <w:p w14:paraId="105F2C63"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143,525</w:t>
            </w:r>
          </w:p>
        </w:tc>
        <w:tc>
          <w:tcPr>
            <w:tcW w:w="2250" w:type="dxa"/>
          </w:tcPr>
          <w:p w14:paraId="2E367974" w14:textId="77777777" w:rsidR="00D25ED2" w:rsidRPr="00915E84" w:rsidRDefault="00D25ED2" w:rsidP="00E40356">
            <w:pPr>
              <w:jc w:val="center"/>
              <w:rPr>
                <w:rFonts w:ascii="Source Sans Pro" w:hAnsi="Source Sans Pro" w:cs="Times New Roman"/>
                <w:sz w:val="24"/>
                <w:szCs w:val="24"/>
              </w:rPr>
            </w:pPr>
            <w:r w:rsidRPr="00915E84">
              <w:rPr>
                <w:rFonts w:ascii="Source Sans Pro" w:hAnsi="Source Sans Pro" w:cs="Times New Roman"/>
                <w:sz w:val="24"/>
                <w:szCs w:val="24"/>
              </w:rPr>
              <w:t>$3,529,158,656</w:t>
            </w:r>
          </w:p>
        </w:tc>
        <w:tc>
          <w:tcPr>
            <w:tcW w:w="3330" w:type="dxa"/>
          </w:tcPr>
          <w:p w14:paraId="7ADE2669" w14:textId="77777777" w:rsidR="00D25ED2" w:rsidRPr="00915E84" w:rsidRDefault="00D25ED2" w:rsidP="00E40356">
            <w:pPr>
              <w:jc w:val="center"/>
              <w:rPr>
                <w:rFonts w:ascii="Source Sans Pro" w:hAnsi="Source Sans Pro" w:cs="Times New Roman"/>
                <w:sz w:val="24"/>
                <w:szCs w:val="24"/>
              </w:rPr>
            </w:pPr>
            <w:r>
              <w:rPr>
                <w:rFonts w:ascii="Source Sans Pro" w:hAnsi="Source Sans Pro" w:cs="Times New Roman"/>
                <w:sz w:val="24"/>
                <w:szCs w:val="24"/>
              </w:rPr>
              <w:t>34.2%</w:t>
            </w:r>
          </w:p>
        </w:tc>
      </w:tr>
      <w:bookmarkEnd w:id="1"/>
    </w:tbl>
    <w:p w14:paraId="0F13D55A" w14:textId="77777777" w:rsidR="00D25ED2" w:rsidRDefault="00D25ED2" w:rsidP="00D25ED2">
      <w:pPr>
        <w:spacing w:after="0" w:line="240" w:lineRule="auto"/>
        <w:jc w:val="center"/>
        <w:rPr>
          <w:rFonts w:ascii="Source Sans Pro SemiBold" w:hAnsi="Source Sans Pro SemiBold" w:cs="Times New Roman"/>
          <w:sz w:val="28"/>
          <w:szCs w:val="28"/>
        </w:rPr>
      </w:pPr>
    </w:p>
    <w:p w14:paraId="090E2E4D" w14:textId="77777777" w:rsidR="00240B2F" w:rsidRDefault="00240B2F" w:rsidP="00D25ED2">
      <w:pPr>
        <w:spacing w:after="120" w:line="240" w:lineRule="auto"/>
        <w:jc w:val="center"/>
        <w:rPr>
          <w:rFonts w:ascii="Source Sans Pro SemiBold" w:hAnsi="Source Sans Pro SemiBold" w:cs="Times New Roman"/>
          <w:sz w:val="28"/>
          <w:szCs w:val="28"/>
        </w:rPr>
      </w:pPr>
    </w:p>
    <w:p w14:paraId="36AD60C0" w14:textId="3D127B3A" w:rsidR="00D25ED2" w:rsidRPr="00EC28A2" w:rsidRDefault="00D25ED2" w:rsidP="00D25ED2">
      <w:pPr>
        <w:spacing w:after="120" w:line="240" w:lineRule="auto"/>
        <w:jc w:val="center"/>
        <w:rPr>
          <w:rFonts w:ascii="Source Sans Pro SemiBold" w:hAnsi="Source Sans Pro SemiBold" w:cs="Times New Roman"/>
          <w:sz w:val="28"/>
          <w:szCs w:val="28"/>
        </w:rPr>
      </w:pPr>
      <w:r w:rsidRPr="00D25ED2">
        <w:rPr>
          <w:rFonts w:ascii="Source Sans Pro SemiBold" w:hAnsi="Source Sans Pro SemiBold" w:cs="Times New Roman"/>
          <w:sz w:val="28"/>
          <w:szCs w:val="28"/>
        </w:rPr>
        <w:t>Percent of California Agricultural Employees employed by FLCs</w:t>
      </w:r>
      <w:r w:rsidR="00301FC6" w:rsidRPr="00EC28A2">
        <w:rPr>
          <w:rFonts w:ascii="Source Sans Pro SemiBold" w:hAnsi="Source Sans Pro SemiBold" w:cs="Times New Roman"/>
          <w:sz w:val="28"/>
          <w:szCs w:val="28"/>
        </w:rPr>
        <w:t xml:space="preserve"> 1990-202</w:t>
      </w:r>
      <w:r w:rsidR="00906DF3">
        <w:rPr>
          <w:rFonts w:ascii="Source Sans Pro SemiBold" w:hAnsi="Source Sans Pro SemiBold" w:cs="Times New Roman"/>
          <w:sz w:val="28"/>
          <w:szCs w:val="28"/>
        </w:rPr>
        <w:t>1</w:t>
      </w:r>
    </w:p>
    <w:p w14:paraId="31C61918" w14:textId="2E68A9ED" w:rsidR="00D25ED2" w:rsidRPr="00915E84" w:rsidRDefault="00D25ED2" w:rsidP="00D25ED2">
      <w:pPr>
        <w:spacing w:after="0"/>
        <w:ind w:left="630"/>
        <w:rPr>
          <w:rFonts w:ascii="Source Sans Pro" w:hAnsi="Source Sans Pro" w:cs="Times New Roman"/>
          <w:i/>
          <w:iCs/>
          <w:sz w:val="24"/>
          <w:szCs w:val="24"/>
        </w:rPr>
      </w:pPr>
      <w:r>
        <w:rPr>
          <w:noProof/>
        </w:rPr>
        <w:drawing>
          <wp:anchor distT="0" distB="0" distL="114300" distR="114300" simplePos="0" relativeHeight="251658240" behindDoc="1" locked="0" layoutInCell="1" allowOverlap="1" wp14:anchorId="51E75A55" wp14:editId="0CA43C99">
            <wp:simplePos x="0" y="0"/>
            <wp:positionH relativeFrom="margin">
              <wp:align>center</wp:align>
            </wp:positionH>
            <wp:positionV relativeFrom="paragraph">
              <wp:posOffset>21590</wp:posOffset>
            </wp:positionV>
            <wp:extent cx="4819650" cy="2266950"/>
            <wp:effectExtent l="0" t="0" r="0" b="0"/>
            <wp:wrapTight wrapText="bothSides">
              <wp:wrapPolygon edited="0">
                <wp:start x="0" y="0"/>
                <wp:lineTo x="0" y="21418"/>
                <wp:lineTo x="21515" y="21418"/>
                <wp:lineTo x="21515" y="0"/>
                <wp:lineTo x="0" y="0"/>
              </wp:wrapPolygon>
            </wp:wrapTight>
            <wp:docPr id="1" name="Chart 1">
              <a:extLst xmlns:a="http://schemas.openxmlformats.org/drawingml/2006/main">
                <a:ext uri="{FF2B5EF4-FFF2-40B4-BE49-F238E27FC236}">
                  <a16:creationId xmlns:a16="http://schemas.microsoft.com/office/drawing/2014/main" id="{2A81587F-E61C-FC78-739B-12E46E17D9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anchor>
        </w:drawing>
      </w:r>
    </w:p>
    <w:p w14:paraId="24A3FBC9" w14:textId="79048806" w:rsidR="00D25ED2" w:rsidRDefault="00D25ED2" w:rsidP="00D25ED2">
      <w:pPr>
        <w:rPr>
          <w:rFonts w:ascii="Source Sans Pro" w:hAnsi="Source Sans Pro" w:cs="Times New Roman"/>
          <w:sz w:val="24"/>
          <w:szCs w:val="24"/>
        </w:rPr>
      </w:pPr>
    </w:p>
    <w:p w14:paraId="52AAB866" w14:textId="491BACC7" w:rsidR="00D25ED2" w:rsidRDefault="00D25ED2" w:rsidP="004912FB">
      <w:pPr>
        <w:spacing w:after="120" w:line="240" w:lineRule="auto"/>
        <w:jc w:val="center"/>
        <w:rPr>
          <w:rFonts w:ascii="Source Sans Pro SemiBold" w:hAnsi="Source Sans Pro SemiBold" w:cs="Times New Roman"/>
          <w:sz w:val="28"/>
          <w:szCs w:val="28"/>
        </w:rPr>
      </w:pPr>
    </w:p>
    <w:p w14:paraId="5F1329CC" w14:textId="6D944C1A" w:rsidR="00D25ED2" w:rsidRDefault="00D25ED2" w:rsidP="004912FB">
      <w:pPr>
        <w:spacing w:after="120" w:line="240" w:lineRule="auto"/>
        <w:jc w:val="center"/>
        <w:rPr>
          <w:rFonts w:ascii="Source Sans Pro SemiBold" w:hAnsi="Source Sans Pro SemiBold" w:cs="Times New Roman"/>
          <w:sz w:val="28"/>
          <w:szCs w:val="28"/>
        </w:rPr>
      </w:pPr>
    </w:p>
    <w:p w14:paraId="4F6B3D77" w14:textId="1BEA42F3" w:rsidR="00D25ED2" w:rsidRDefault="00D25ED2" w:rsidP="004912FB">
      <w:pPr>
        <w:spacing w:after="120" w:line="240" w:lineRule="auto"/>
        <w:jc w:val="center"/>
        <w:rPr>
          <w:rFonts w:ascii="Source Sans Pro SemiBold" w:hAnsi="Source Sans Pro SemiBold" w:cs="Times New Roman"/>
          <w:sz w:val="28"/>
          <w:szCs w:val="28"/>
        </w:rPr>
      </w:pPr>
    </w:p>
    <w:p w14:paraId="0D317ECD" w14:textId="4C7226EE" w:rsidR="00D25ED2" w:rsidRDefault="00D25ED2" w:rsidP="004912FB">
      <w:pPr>
        <w:spacing w:after="120" w:line="240" w:lineRule="auto"/>
        <w:jc w:val="center"/>
        <w:rPr>
          <w:rFonts w:ascii="Source Sans Pro SemiBold" w:hAnsi="Source Sans Pro SemiBold" w:cs="Times New Roman"/>
          <w:sz w:val="28"/>
          <w:szCs w:val="28"/>
        </w:rPr>
      </w:pPr>
    </w:p>
    <w:p w14:paraId="54843FE5" w14:textId="3098CDE7" w:rsidR="00D25ED2" w:rsidRDefault="00D25ED2" w:rsidP="004912FB">
      <w:pPr>
        <w:spacing w:after="120" w:line="240" w:lineRule="auto"/>
        <w:jc w:val="center"/>
        <w:rPr>
          <w:rFonts w:ascii="Source Sans Pro SemiBold" w:hAnsi="Source Sans Pro SemiBold" w:cs="Times New Roman"/>
          <w:sz w:val="28"/>
          <w:szCs w:val="28"/>
        </w:rPr>
      </w:pPr>
    </w:p>
    <w:p w14:paraId="7D9CFB89" w14:textId="004BA3C5" w:rsidR="00D25ED2" w:rsidRDefault="00DF2DAC" w:rsidP="004912FB">
      <w:pPr>
        <w:spacing w:after="120" w:line="240" w:lineRule="auto"/>
        <w:jc w:val="center"/>
        <w:rPr>
          <w:rFonts w:ascii="Source Sans Pro SemiBold" w:hAnsi="Source Sans Pro SemiBold" w:cs="Times New Roman"/>
          <w:sz w:val="28"/>
          <w:szCs w:val="28"/>
        </w:rPr>
      </w:pPr>
      <w:r w:rsidRPr="00301FC6">
        <w:rPr>
          <w:rFonts w:ascii="Source Sans Pro" w:hAnsi="Source Sans Pro" w:cs="Times New Roman"/>
          <w:i/>
          <w:iCs/>
          <w:noProof/>
          <w:sz w:val="24"/>
          <w:szCs w:val="24"/>
        </w:rPr>
        <mc:AlternateContent>
          <mc:Choice Requires="wps">
            <w:drawing>
              <wp:anchor distT="45720" distB="45720" distL="114300" distR="114300" simplePos="0" relativeHeight="251660288" behindDoc="0" locked="0" layoutInCell="1" allowOverlap="1" wp14:anchorId="3FDDDE40" wp14:editId="58CDDD03">
                <wp:simplePos x="0" y="0"/>
                <wp:positionH relativeFrom="column">
                  <wp:posOffset>1460500</wp:posOffset>
                </wp:positionH>
                <wp:positionV relativeFrom="paragraph">
                  <wp:posOffset>6985</wp:posOffset>
                </wp:positionV>
                <wp:extent cx="4330700" cy="234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234950"/>
                        </a:xfrm>
                        <a:prstGeom prst="rect">
                          <a:avLst/>
                        </a:prstGeom>
                        <a:solidFill>
                          <a:srgbClr val="FFFFFF"/>
                        </a:solidFill>
                        <a:ln w="9525">
                          <a:noFill/>
                          <a:miter lim="800000"/>
                          <a:headEnd/>
                          <a:tailEnd/>
                        </a:ln>
                      </wps:spPr>
                      <wps:txbx>
                        <w:txbxContent>
                          <w:p w14:paraId="23F1FC8B" w14:textId="660FC7AA" w:rsidR="00301FC6" w:rsidRPr="00DF2DAC" w:rsidRDefault="00301FC6" w:rsidP="00DF2DAC">
                            <w:pPr>
                              <w:jc w:val="right"/>
                              <w:rPr>
                                <w:rFonts w:cstheme="minorHAnsi"/>
                                <w:color w:val="595959" w:themeColor="text1" w:themeTint="A6"/>
                                <w:sz w:val="18"/>
                                <w:szCs w:val="18"/>
                              </w:rPr>
                            </w:pPr>
                            <w:r w:rsidRPr="00DF2DAC">
                              <w:rPr>
                                <w:rFonts w:cstheme="minorHAnsi"/>
                                <w:color w:val="595959" w:themeColor="text1" w:themeTint="A6"/>
                                <w:sz w:val="18"/>
                                <w:szCs w:val="18"/>
                              </w:rPr>
                              <w:t>1990</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1994</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 xml:space="preserve"> 1998</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2002</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2006</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2010</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 xml:space="preserve"> </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2014</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 xml:space="preserve"> 2018</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 xml:space="preserve"> 202</w:t>
                            </w:r>
                            <w:r w:rsidR="00DF2DAC" w:rsidRPr="00DF2DAC">
                              <w:rPr>
                                <w:rFonts w:cstheme="minorHAnsi"/>
                                <w:color w:val="595959" w:themeColor="text1" w:themeTint="A6"/>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DDDE40" id="_x0000_t202" coordsize="21600,21600" o:spt="202" path="m,l,21600r21600,l21600,xe">
                <v:stroke joinstyle="miter"/>
                <v:path gradientshapeok="t" o:connecttype="rect"/>
              </v:shapetype>
              <v:shape id="Text Box 2" o:spid="_x0000_s1026" type="#_x0000_t202" style="position:absolute;left:0;text-align:left;margin-left:115pt;margin-top:.55pt;width:341pt;height:1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" stroked="f">
                <v:textbox>
                  <w:txbxContent>
                    <w:p w14:paraId="23F1FC8B" w14:textId="660FC7AA" w:rsidR="00301FC6" w:rsidRPr="00DF2DAC" w:rsidRDefault="00301FC6" w:rsidP="00DF2DAC">
                      <w:pPr>
                        <w:jc w:val="right"/>
                        <w:rPr>
                          <w:rFonts w:cstheme="minorHAnsi"/>
                          <w:color w:val="595959" w:themeColor="text1" w:themeTint="A6"/>
                          <w:sz w:val="18"/>
                          <w:szCs w:val="18"/>
                        </w:rPr>
                      </w:pPr>
                      <w:r w:rsidRPr="00DF2DAC">
                        <w:rPr>
                          <w:rFonts w:cstheme="minorHAnsi"/>
                          <w:color w:val="595959" w:themeColor="text1" w:themeTint="A6"/>
                          <w:sz w:val="18"/>
                          <w:szCs w:val="18"/>
                        </w:rPr>
                        <w:t>1990</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1994</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 xml:space="preserve"> 1998</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2002</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2006</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2010</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 xml:space="preserve"> </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2014</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 xml:space="preserve"> 2018</w:t>
                      </w:r>
                      <w:r w:rsidR="00DF2DAC">
                        <w:rPr>
                          <w:rFonts w:cstheme="minorHAnsi"/>
                          <w:color w:val="595959" w:themeColor="text1" w:themeTint="A6"/>
                          <w:sz w:val="18"/>
                          <w:szCs w:val="18"/>
                        </w:rPr>
                        <w:t xml:space="preserve">         </w:t>
                      </w:r>
                      <w:r w:rsidRPr="00DF2DAC">
                        <w:rPr>
                          <w:rFonts w:cstheme="minorHAnsi"/>
                          <w:color w:val="595959" w:themeColor="text1" w:themeTint="A6"/>
                          <w:sz w:val="18"/>
                          <w:szCs w:val="18"/>
                        </w:rPr>
                        <w:t xml:space="preserve"> 202</w:t>
                      </w:r>
                      <w:r w:rsidR="00DF2DAC" w:rsidRPr="00DF2DAC">
                        <w:rPr>
                          <w:rFonts w:cstheme="minorHAnsi"/>
                          <w:color w:val="595959" w:themeColor="text1" w:themeTint="A6"/>
                          <w:sz w:val="18"/>
                          <w:szCs w:val="18"/>
                        </w:rPr>
                        <w:t>1</w:t>
                      </w:r>
                    </w:p>
                  </w:txbxContent>
                </v:textbox>
                <w10:wrap type="square"/>
              </v:shape>
            </w:pict>
          </mc:Fallback>
        </mc:AlternateContent>
      </w:r>
    </w:p>
    <w:p w14:paraId="3C30B23D" w14:textId="0D57E503" w:rsidR="00D25ED2" w:rsidRPr="00634F09" w:rsidRDefault="00EC28A2" w:rsidP="004912FB">
      <w:pPr>
        <w:spacing w:after="120" w:line="240" w:lineRule="auto"/>
        <w:jc w:val="center"/>
        <w:rPr>
          <w:rFonts w:ascii="Source Sans Pro SemiBold" w:hAnsi="Source Sans Pro SemiBold" w:cs="Times New Roman"/>
          <w:i/>
          <w:iCs/>
          <w:sz w:val="24"/>
          <w:szCs w:val="24"/>
        </w:rPr>
      </w:pPr>
      <w:r>
        <w:rPr>
          <w:rFonts w:ascii="Source Sans Pro" w:hAnsi="Source Sans Pro" w:cs="Times New Roman"/>
          <w:i/>
          <w:iCs/>
        </w:rPr>
        <w:t xml:space="preserve">Source: California </w:t>
      </w:r>
      <w:r w:rsidR="00634F09" w:rsidRPr="00634F09">
        <w:rPr>
          <w:rFonts w:ascii="Source Sans Pro" w:hAnsi="Source Sans Pro" w:cs="Times New Roman"/>
          <w:i/>
          <w:iCs/>
        </w:rPr>
        <w:t>Employment Development Department Census of Employment &amp; Wages Data</w:t>
      </w:r>
    </w:p>
    <w:p w14:paraId="696DBE32" w14:textId="77777777" w:rsidR="006D466B" w:rsidRDefault="006D466B" w:rsidP="004912FB">
      <w:pPr>
        <w:spacing w:after="120" w:line="240" w:lineRule="auto"/>
        <w:jc w:val="center"/>
        <w:rPr>
          <w:rFonts w:ascii="Source Sans Pro SemiBold" w:hAnsi="Source Sans Pro SemiBold" w:cs="Times New Roman"/>
          <w:sz w:val="28"/>
          <w:szCs w:val="28"/>
        </w:rPr>
      </w:pPr>
    </w:p>
    <w:p w14:paraId="412553A5" w14:textId="77777777" w:rsidR="006D466B" w:rsidRPr="00725A28" w:rsidRDefault="006D466B" w:rsidP="006D466B">
      <w:pPr>
        <w:spacing w:after="120" w:line="240" w:lineRule="auto"/>
        <w:jc w:val="center"/>
        <w:rPr>
          <w:rFonts w:ascii="Source Sans Pro SemiBold" w:hAnsi="Source Sans Pro SemiBold" w:cs="Times New Roman"/>
          <w:sz w:val="28"/>
          <w:szCs w:val="28"/>
        </w:rPr>
      </w:pPr>
      <w:r>
        <w:rPr>
          <w:rFonts w:ascii="Source Sans Pro SemiBold" w:hAnsi="Source Sans Pro SemiBold" w:cs="Times New Roman"/>
          <w:sz w:val="28"/>
          <w:szCs w:val="28"/>
        </w:rPr>
        <w:t xml:space="preserve">Comparison of Requirements for </w:t>
      </w:r>
      <w:r w:rsidRPr="00725A28">
        <w:rPr>
          <w:rFonts w:ascii="Source Sans Pro SemiBold" w:hAnsi="Source Sans Pro SemiBold" w:cs="Times New Roman"/>
          <w:sz w:val="28"/>
          <w:szCs w:val="28"/>
        </w:rPr>
        <w:t>Businesses Licensed by DLSE</w:t>
      </w:r>
    </w:p>
    <w:tbl>
      <w:tblPr>
        <w:tblW w:w="0" w:type="auto"/>
        <w:tblCellMar>
          <w:left w:w="0" w:type="dxa"/>
          <w:right w:w="0" w:type="dxa"/>
        </w:tblCellMar>
        <w:tblLook w:val="04A0" w:firstRow="1" w:lastRow="0" w:firstColumn="1" w:lastColumn="0" w:noHBand="0" w:noVBand="1"/>
      </w:tblPr>
      <w:tblGrid>
        <w:gridCol w:w="2543"/>
        <w:gridCol w:w="1773"/>
        <w:gridCol w:w="1884"/>
        <w:gridCol w:w="2015"/>
        <w:gridCol w:w="979"/>
        <w:gridCol w:w="1586"/>
      </w:tblGrid>
      <w:tr w:rsidR="006D466B" w14:paraId="1D0A9B5B" w14:textId="77777777" w:rsidTr="00E40356">
        <w:trPr>
          <w:trHeight w:val="592"/>
        </w:trPr>
        <w:tc>
          <w:tcPr>
            <w:tcW w:w="25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06A653" w14:textId="77777777" w:rsidR="006D466B" w:rsidRPr="00725A28" w:rsidRDefault="006D466B" w:rsidP="00E40356">
            <w:pPr>
              <w:spacing w:after="0" w:line="240" w:lineRule="auto"/>
              <w:rPr>
                <w:rFonts w:ascii="Source Sans Pro" w:hAnsi="Source Sans Pro"/>
                <w:b/>
                <w:bCs/>
              </w:rPr>
            </w:pPr>
          </w:p>
        </w:tc>
        <w:tc>
          <w:tcPr>
            <w:tcW w:w="17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A279FA3" w14:textId="77777777" w:rsidR="006D466B" w:rsidRPr="00725A28" w:rsidRDefault="006D466B" w:rsidP="00E40356">
            <w:pPr>
              <w:spacing w:after="0" w:line="240" w:lineRule="auto"/>
              <w:jc w:val="center"/>
              <w:rPr>
                <w:rFonts w:ascii="Source Sans Pro SemiBold" w:hAnsi="Source Sans Pro SemiBold"/>
              </w:rPr>
            </w:pPr>
            <w:r w:rsidRPr="00725A28">
              <w:rPr>
                <w:rFonts w:ascii="Source Sans Pro SemiBold" w:hAnsi="Source Sans Pro SemiBold"/>
              </w:rPr>
              <w:t>License Duration</w:t>
            </w:r>
          </w:p>
        </w:tc>
        <w:tc>
          <w:tcPr>
            <w:tcW w:w="18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D23EFC1" w14:textId="77777777" w:rsidR="006D466B" w:rsidRPr="00725A28" w:rsidRDefault="006D466B" w:rsidP="00E40356">
            <w:pPr>
              <w:spacing w:after="0" w:line="240" w:lineRule="auto"/>
              <w:jc w:val="center"/>
              <w:rPr>
                <w:rFonts w:ascii="Source Sans Pro SemiBold" w:hAnsi="Source Sans Pro SemiBold"/>
              </w:rPr>
            </w:pPr>
            <w:r w:rsidRPr="00725A28">
              <w:rPr>
                <w:rFonts w:ascii="Source Sans Pro SemiBold" w:hAnsi="Source Sans Pro SemiBold"/>
              </w:rPr>
              <w:t>Education Requirements</w:t>
            </w:r>
          </w:p>
        </w:tc>
        <w:tc>
          <w:tcPr>
            <w:tcW w:w="20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6B19A26" w14:textId="77777777" w:rsidR="006D466B" w:rsidRPr="00725A28" w:rsidRDefault="006D466B" w:rsidP="00E40356">
            <w:pPr>
              <w:spacing w:after="0" w:line="240" w:lineRule="auto"/>
              <w:jc w:val="center"/>
              <w:rPr>
                <w:rFonts w:ascii="Source Sans Pro SemiBold" w:hAnsi="Source Sans Pro SemiBold"/>
              </w:rPr>
            </w:pPr>
            <w:r w:rsidRPr="00725A28">
              <w:rPr>
                <w:rFonts w:ascii="Source Sans Pro SemiBold" w:hAnsi="Source Sans Pro SemiBold"/>
              </w:rPr>
              <w:t>Exam</w:t>
            </w:r>
          </w:p>
        </w:tc>
        <w:tc>
          <w:tcPr>
            <w:tcW w:w="9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673983F" w14:textId="77777777" w:rsidR="006D466B" w:rsidRPr="00725A28" w:rsidRDefault="006D466B" w:rsidP="00E40356">
            <w:pPr>
              <w:spacing w:after="0" w:line="240" w:lineRule="auto"/>
              <w:jc w:val="center"/>
              <w:rPr>
                <w:rFonts w:ascii="Source Sans Pro SemiBold" w:hAnsi="Source Sans Pro SemiBold"/>
              </w:rPr>
            </w:pPr>
            <w:r w:rsidRPr="00725A28">
              <w:rPr>
                <w:rFonts w:ascii="Source Sans Pro SemiBold" w:hAnsi="Source Sans Pro SemiBold"/>
              </w:rPr>
              <w:t>Exam Fee</w:t>
            </w:r>
          </w:p>
        </w:tc>
        <w:tc>
          <w:tcPr>
            <w:tcW w:w="15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BA466DA" w14:textId="77777777" w:rsidR="006D466B" w:rsidRPr="00725A28" w:rsidRDefault="006D466B" w:rsidP="00E40356">
            <w:pPr>
              <w:spacing w:after="0" w:line="240" w:lineRule="auto"/>
              <w:jc w:val="center"/>
              <w:rPr>
                <w:rFonts w:ascii="Source Sans Pro SemiBold" w:hAnsi="Source Sans Pro SemiBold"/>
              </w:rPr>
            </w:pPr>
            <w:r w:rsidRPr="00725A28">
              <w:rPr>
                <w:rFonts w:ascii="Source Sans Pro SemiBold" w:hAnsi="Source Sans Pro SemiBold"/>
              </w:rPr>
              <w:t>Application Fee</w:t>
            </w:r>
          </w:p>
        </w:tc>
      </w:tr>
      <w:tr w:rsidR="006D466B" w14:paraId="76A37EEA" w14:textId="77777777" w:rsidTr="00E40356">
        <w:trPr>
          <w:trHeight w:val="290"/>
        </w:trPr>
        <w:tc>
          <w:tcPr>
            <w:tcW w:w="25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F6A3BD" w14:textId="77777777" w:rsidR="006D466B" w:rsidRPr="00725A28" w:rsidRDefault="006D466B" w:rsidP="00E40356">
            <w:pPr>
              <w:spacing w:after="0" w:line="240" w:lineRule="auto"/>
              <w:rPr>
                <w:rFonts w:ascii="Source Sans Pro" w:hAnsi="Source Sans Pro"/>
              </w:rPr>
            </w:pPr>
            <w:r w:rsidRPr="00725A28">
              <w:rPr>
                <w:rFonts w:ascii="Source Sans Pro" w:hAnsi="Source Sans Pro"/>
              </w:rPr>
              <w:t>Farm Labor Contractor</w:t>
            </w:r>
          </w:p>
        </w:tc>
        <w:tc>
          <w:tcPr>
            <w:tcW w:w="17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F44D8C"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1 year</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4FBD11"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9hr/year</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14FA69"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Every 2 years</w:t>
            </w:r>
          </w:p>
        </w:tc>
        <w:tc>
          <w:tcPr>
            <w:tcW w:w="9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D761B1"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$184</w:t>
            </w:r>
          </w:p>
        </w:tc>
        <w:tc>
          <w:tcPr>
            <w:tcW w:w="15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CB8B16"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$600</w:t>
            </w:r>
          </w:p>
        </w:tc>
      </w:tr>
      <w:tr w:rsidR="006D466B" w14:paraId="49ABCA5C" w14:textId="77777777" w:rsidTr="00E40356">
        <w:trPr>
          <w:trHeight w:val="290"/>
        </w:trPr>
        <w:tc>
          <w:tcPr>
            <w:tcW w:w="2543"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7948D27D" w14:textId="77777777" w:rsidR="006D466B" w:rsidRPr="00725A28" w:rsidRDefault="006D466B" w:rsidP="00E40356">
            <w:pPr>
              <w:spacing w:after="0" w:line="240" w:lineRule="auto"/>
              <w:rPr>
                <w:rFonts w:ascii="Source Sans Pro" w:hAnsi="Source Sans Pro"/>
              </w:rPr>
            </w:pPr>
            <w:r w:rsidRPr="00725A28">
              <w:rPr>
                <w:rFonts w:ascii="Source Sans Pro" w:hAnsi="Source Sans Pro"/>
              </w:rPr>
              <w:t>Studio Teachers Certification</w:t>
            </w:r>
          </w:p>
        </w:tc>
        <w:tc>
          <w:tcPr>
            <w:tcW w:w="1773"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79BFEC6F"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3 years</w:t>
            </w:r>
          </w:p>
        </w:tc>
        <w:tc>
          <w:tcPr>
            <w:tcW w:w="1884"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52DE553C"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12hr initial &amp; 3hr every 3 years</w:t>
            </w:r>
          </w:p>
        </w:tc>
        <w:tc>
          <w:tcPr>
            <w:tcW w:w="201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3678C2D4"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Every 3 years</w:t>
            </w:r>
          </w:p>
        </w:tc>
        <w:tc>
          <w:tcPr>
            <w:tcW w:w="979"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51D7054C"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None</w:t>
            </w:r>
          </w:p>
        </w:tc>
        <w:tc>
          <w:tcPr>
            <w:tcW w:w="1586"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40F31CFC"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None</w:t>
            </w:r>
          </w:p>
        </w:tc>
      </w:tr>
      <w:tr w:rsidR="006D466B" w14:paraId="447907AD" w14:textId="77777777" w:rsidTr="00E40356">
        <w:trPr>
          <w:trHeight w:val="870"/>
        </w:trPr>
        <w:tc>
          <w:tcPr>
            <w:tcW w:w="25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7F0AF4" w14:textId="77777777" w:rsidR="006D466B" w:rsidRPr="00725A28" w:rsidRDefault="006D466B" w:rsidP="00E40356">
            <w:pPr>
              <w:spacing w:after="0" w:line="240" w:lineRule="auto"/>
              <w:rPr>
                <w:rFonts w:ascii="Source Sans Pro" w:hAnsi="Source Sans Pro"/>
              </w:rPr>
            </w:pPr>
            <w:r w:rsidRPr="00725A28">
              <w:rPr>
                <w:rFonts w:ascii="Source Sans Pro" w:hAnsi="Source Sans Pro"/>
              </w:rPr>
              <w:t xml:space="preserve">Garment Manufacturers &amp; Contractors  </w:t>
            </w:r>
          </w:p>
        </w:tc>
        <w:tc>
          <w:tcPr>
            <w:tcW w:w="17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D4232F"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1 year</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56952B"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None</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57D51"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 xml:space="preserve">Initial </w:t>
            </w:r>
            <w:r>
              <w:rPr>
                <w:rFonts w:ascii="Source Sans Pro" w:hAnsi="Source Sans Pro"/>
              </w:rPr>
              <w:br/>
            </w:r>
            <w:r w:rsidRPr="00725A28">
              <w:rPr>
                <w:rFonts w:ascii="Source Sans Pro" w:hAnsi="Source Sans Pro"/>
              </w:rPr>
              <w:t>&amp; at discretion of Commissioner</w:t>
            </w:r>
          </w:p>
        </w:tc>
        <w:tc>
          <w:tcPr>
            <w:tcW w:w="9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C57F70"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$25</w:t>
            </w:r>
          </w:p>
        </w:tc>
        <w:tc>
          <w:tcPr>
            <w:tcW w:w="15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B6E4EC"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$250-$2,500</w:t>
            </w:r>
          </w:p>
        </w:tc>
      </w:tr>
      <w:tr w:rsidR="006D466B" w14:paraId="708A1C00" w14:textId="77777777" w:rsidTr="00E40356">
        <w:trPr>
          <w:trHeight w:val="290"/>
        </w:trPr>
        <w:tc>
          <w:tcPr>
            <w:tcW w:w="2543"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72285ECC" w14:textId="77777777" w:rsidR="006D466B" w:rsidRPr="00725A28" w:rsidRDefault="006D466B" w:rsidP="00E40356">
            <w:pPr>
              <w:spacing w:after="0" w:line="240" w:lineRule="auto"/>
              <w:rPr>
                <w:rFonts w:ascii="Source Sans Pro" w:hAnsi="Source Sans Pro"/>
              </w:rPr>
            </w:pPr>
            <w:r w:rsidRPr="00725A28">
              <w:rPr>
                <w:rFonts w:ascii="Source Sans Pro" w:hAnsi="Source Sans Pro"/>
              </w:rPr>
              <w:t>Janitorial Service Providers &amp; Contractors</w:t>
            </w:r>
          </w:p>
        </w:tc>
        <w:tc>
          <w:tcPr>
            <w:tcW w:w="1773"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11C9A7FB"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1 year</w:t>
            </w:r>
          </w:p>
        </w:tc>
        <w:tc>
          <w:tcPr>
            <w:tcW w:w="1884"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003E0302"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 xml:space="preserve">SH Training every 2 </w:t>
            </w:r>
            <w:proofErr w:type="spellStart"/>
            <w:r w:rsidRPr="00725A28">
              <w:rPr>
                <w:rFonts w:ascii="Source Sans Pro" w:hAnsi="Source Sans Pro"/>
              </w:rPr>
              <w:t>yrs</w:t>
            </w:r>
            <w:proofErr w:type="spellEnd"/>
          </w:p>
        </w:tc>
        <w:tc>
          <w:tcPr>
            <w:tcW w:w="201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66060764"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No</w:t>
            </w:r>
          </w:p>
        </w:tc>
        <w:tc>
          <w:tcPr>
            <w:tcW w:w="979"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105672DB"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N/A</w:t>
            </w:r>
          </w:p>
        </w:tc>
        <w:tc>
          <w:tcPr>
            <w:tcW w:w="1586"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5F80F028"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$500</w:t>
            </w:r>
          </w:p>
        </w:tc>
      </w:tr>
      <w:tr w:rsidR="006D466B" w14:paraId="6D06DF4A" w14:textId="77777777" w:rsidTr="00E40356">
        <w:trPr>
          <w:trHeight w:val="290"/>
        </w:trPr>
        <w:tc>
          <w:tcPr>
            <w:tcW w:w="25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61144C" w14:textId="77777777" w:rsidR="006D466B" w:rsidRPr="00725A28" w:rsidRDefault="006D466B" w:rsidP="00E40356">
            <w:pPr>
              <w:spacing w:after="0" w:line="240" w:lineRule="auto"/>
              <w:rPr>
                <w:rFonts w:ascii="Source Sans Pro" w:hAnsi="Source Sans Pro"/>
              </w:rPr>
            </w:pPr>
            <w:r w:rsidRPr="00725A28">
              <w:rPr>
                <w:rFonts w:ascii="Source Sans Pro" w:hAnsi="Source Sans Pro"/>
              </w:rPr>
              <w:t>Foreign Labor Contractor</w:t>
            </w:r>
          </w:p>
        </w:tc>
        <w:tc>
          <w:tcPr>
            <w:tcW w:w="17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54A1D2"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2 years</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D0B2A8"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None</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62A7CD"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No</w:t>
            </w:r>
          </w:p>
        </w:tc>
        <w:tc>
          <w:tcPr>
            <w:tcW w:w="9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CC5C55"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N/A</w:t>
            </w:r>
          </w:p>
        </w:tc>
        <w:tc>
          <w:tcPr>
            <w:tcW w:w="15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FF0244"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$95</w:t>
            </w:r>
          </w:p>
        </w:tc>
      </w:tr>
      <w:tr w:rsidR="006D466B" w14:paraId="5FE79A43" w14:textId="77777777" w:rsidTr="00E40356">
        <w:trPr>
          <w:trHeight w:val="290"/>
        </w:trPr>
        <w:tc>
          <w:tcPr>
            <w:tcW w:w="2543"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3BB10C00" w14:textId="77777777" w:rsidR="006D466B" w:rsidRPr="00725A28" w:rsidRDefault="006D466B" w:rsidP="00E40356">
            <w:pPr>
              <w:spacing w:after="0" w:line="240" w:lineRule="auto"/>
              <w:rPr>
                <w:rFonts w:ascii="Source Sans Pro" w:hAnsi="Source Sans Pro"/>
              </w:rPr>
            </w:pPr>
            <w:r w:rsidRPr="00725A28">
              <w:rPr>
                <w:rFonts w:ascii="Source Sans Pro" w:hAnsi="Source Sans Pro"/>
              </w:rPr>
              <w:t xml:space="preserve">Car Washing &amp; Polishing </w:t>
            </w:r>
          </w:p>
        </w:tc>
        <w:tc>
          <w:tcPr>
            <w:tcW w:w="1773"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1226280E"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1 year</w:t>
            </w:r>
          </w:p>
        </w:tc>
        <w:tc>
          <w:tcPr>
            <w:tcW w:w="1884"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5CDB6292"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None</w:t>
            </w:r>
          </w:p>
        </w:tc>
        <w:tc>
          <w:tcPr>
            <w:tcW w:w="201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676171CC"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No</w:t>
            </w:r>
          </w:p>
        </w:tc>
        <w:tc>
          <w:tcPr>
            <w:tcW w:w="979"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20579B7E"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N/A</w:t>
            </w:r>
          </w:p>
        </w:tc>
        <w:tc>
          <w:tcPr>
            <w:tcW w:w="1586"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5BF4F854"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$300</w:t>
            </w:r>
            <w:r>
              <w:rPr>
                <w:rFonts w:ascii="Source Sans Pro" w:hAnsi="Source Sans Pro"/>
              </w:rPr>
              <w:br/>
            </w:r>
            <w:r w:rsidRPr="00725A28">
              <w:rPr>
                <w:rFonts w:ascii="Source Sans Pro" w:hAnsi="Source Sans Pro"/>
              </w:rPr>
              <w:t>per location</w:t>
            </w:r>
          </w:p>
        </w:tc>
      </w:tr>
      <w:tr w:rsidR="006D466B" w14:paraId="7F24E27D" w14:textId="77777777" w:rsidTr="00E40356">
        <w:trPr>
          <w:trHeight w:val="290"/>
        </w:trPr>
        <w:tc>
          <w:tcPr>
            <w:tcW w:w="25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15DDD2" w14:textId="77777777" w:rsidR="006D466B" w:rsidRPr="00725A28" w:rsidRDefault="006D466B" w:rsidP="00E40356">
            <w:pPr>
              <w:spacing w:after="0" w:line="240" w:lineRule="auto"/>
              <w:rPr>
                <w:rFonts w:ascii="Source Sans Pro" w:hAnsi="Source Sans Pro"/>
              </w:rPr>
            </w:pPr>
            <w:r w:rsidRPr="00725A28">
              <w:rPr>
                <w:rFonts w:ascii="Source Sans Pro" w:hAnsi="Source Sans Pro"/>
              </w:rPr>
              <w:t xml:space="preserve">Talent Agency </w:t>
            </w:r>
          </w:p>
        </w:tc>
        <w:tc>
          <w:tcPr>
            <w:tcW w:w="17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EBA732"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1 year</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79DDD6"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None</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404F2F"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No</w:t>
            </w:r>
          </w:p>
        </w:tc>
        <w:tc>
          <w:tcPr>
            <w:tcW w:w="9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2A7BE5"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N/A</w:t>
            </w:r>
          </w:p>
        </w:tc>
        <w:tc>
          <w:tcPr>
            <w:tcW w:w="15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DFAE0C" w14:textId="77777777" w:rsidR="006D466B" w:rsidRPr="00725A28" w:rsidRDefault="006D466B" w:rsidP="00E40356">
            <w:pPr>
              <w:spacing w:after="0" w:line="240" w:lineRule="auto"/>
              <w:jc w:val="center"/>
              <w:rPr>
                <w:rFonts w:ascii="Source Sans Pro" w:hAnsi="Source Sans Pro"/>
              </w:rPr>
            </w:pPr>
            <w:r w:rsidRPr="00725A28">
              <w:rPr>
                <w:rFonts w:ascii="Source Sans Pro" w:hAnsi="Source Sans Pro"/>
              </w:rPr>
              <w:t>$250</w:t>
            </w:r>
          </w:p>
        </w:tc>
      </w:tr>
    </w:tbl>
    <w:p w14:paraId="4511D769" w14:textId="77777777" w:rsidR="006D466B" w:rsidRDefault="006D466B" w:rsidP="006D466B">
      <w:pPr>
        <w:spacing w:after="120" w:line="240" w:lineRule="auto"/>
        <w:rPr>
          <w:rFonts w:ascii="Times New Roman" w:hAnsi="Times New Roman" w:cs="Times New Roman"/>
          <w:sz w:val="24"/>
          <w:szCs w:val="24"/>
        </w:rPr>
      </w:pPr>
    </w:p>
    <w:p w14:paraId="37C86DDB" w14:textId="5881B6AD" w:rsidR="00B65FFF" w:rsidRPr="001E6EB3" w:rsidRDefault="00B65FFF" w:rsidP="004912FB">
      <w:pPr>
        <w:spacing w:after="120" w:line="240" w:lineRule="auto"/>
        <w:jc w:val="center"/>
        <w:rPr>
          <w:rFonts w:ascii="Source Sans Pro SemiBold" w:hAnsi="Source Sans Pro SemiBold" w:cs="Times New Roman"/>
          <w:sz w:val="28"/>
          <w:szCs w:val="28"/>
        </w:rPr>
      </w:pPr>
      <w:r w:rsidRPr="001E6EB3">
        <w:rPr>
          <w:rFonts w:ascii="Source Sans Pro SemiBold" w:hAnsi="Source Sans Pro SemiBold" w:cs="Times New Roman"/>
          <w:sz w:val="28"/>
          <w:szCs w:val="28"/>
        </w:rPr>
        <w:lastRenderedPageBreak/>
        <w:t>FLC Licensing Obligations</w:t>
      </w:r>
    </w:p>
    <w:p w14:paraId="6AA8593D" w14:textId="4C11E25C" w:rsidR="007B544B" w:rsidRPr="007B544B" w:rsidRDefault="007B544B" w:rsidP="006D466B">
      <w:pPr>
        <w:spacing w:after="0" w:line="288" w:lineRule="auto"/>
        <w:rPr>
          <w:rFonts w:ascii="Source Sans Pro" w:hAnsi="Source Sans Pro" w:cs="Times New Roman"/>
          <w:sz w:val="24"/>
          <w:szCs w:val="24"/>
        </w:rPr>
      </w:pPr>
      <w:r>
        <w:rPr>
          <w:rFonts w:ascii="Source Sans Pro" w:hAnsi="Source Sans Pro" w:cs="Times New Roman"/>
          <w:sz w:val="24"/>
          <w:szCs w:val="24"/>
        </w:rPr>
        <w:t>FLCs are required to renew their license every year, as established in the California Labor Code, overseen by the Labor Commissioner, and administered by the Department of Industrial Relations (DIR) through the Division of Labor Standards and Enforcement (DLSE).</w:t>
      </w:r>
    </w:p>
    <w:p w14:paraId="1F2B3F4E" w14:textId="0BAD5BB9" w:rsidR="00B65FFF" w:rsidRPr="00915E84" w:rsidRDefault="00B65FFF" w:rsidP="006D466B">
      <w:pPr>
        <w:pStyle w:val="ListParagraph"/>
        <w:numPr>
          <w:ilvl w:val="0"/>
          <w:numId w:val="11"/>
        </w:numPr>
        <w:spacing w:after="0" w:line="288" w:lineRule="auto"/>
        <w:ind w:left="540" w:hanging="180"/>
        <w:rPr>
          <w:rFonts w:ascii="Source Sans Pro" w:hAnsi="Source Sans Pro" w:cs="Times New Roman"/>
          <w:sz w:val="24"/>
          <w:szCs w:val="24"/>
        </w:rPr>
      </w:pPr>
      <w:r w:rsidRPr="00915E84">
        <w:rPr>
          <w:rFonts w:ascii="Source Sans Pro" w:hAnsi="Source Sans Pro" w:cs="Times New Roman"/>
          <w:sz w:val="24"/>
          <w:szCs w:val="24"/>
        </w:rPr>
        <w:t>Maintain federal license with the U.S. DOL Wage and Hour Division.</w:t>
      </w:r>
    </w:p>
    <w:p w14:paraId="59285785" w14:textId="77777777" w:rsidR="00B65FFF" w:rsidRPr="00915E84" w:rsidRDefault="00B65FFF" w:rsidP="006D466B">
      <w:pPr>
        <w:pStyle w:val="ListParagraph"/>
        <w:numPr>
          <w:ilvl w:val="0"/>
          <w:numId w:val="11"/>
        </w:numPr>
        <w:spacing w:after="0" w:line="288" w:lineRule="auto"/>
        <w:ind w:left="540" w:hanging="180"/>
        <w:rPr>
          <w:rFonts w:ascii="Source Sans Pro" w:hAnsi="Source Sans Pro" w:cs="Times New Roman"/>
          <w:sz w:val="24"/>
          <w:szCs w:val="24"/>
        </w:rPr>
      </w:pPr>
      <w:r w:rsidRPr="00915E84">
        <w:rPr>
          <w:rFonts w:ascii="Source Sans Pro" w:hAnsi="Source Sans Pro" w:cs="Times New Roman"/>
          <w:sz w:val="24"/>
          <w:szCs w:val="24"/>
        </w:rPr>
        <w:t>Deposit a surety bond with the Labor Commissioner (based on payroll $25,000-$75,000).</w:t>
      </w:r>
    </w:p>
    <w:p w14:paraId="7BB26E64" w14:textId="77777777" w:rsidR="00B65FFF" w:rsidRPr="00915E84" w:rsidRDefault="00B65FFF" w:rsidP="006D466B">
      <w:pPr>
        <w:pStyle w:val="ListParagraph"/>
        <w:numPr>
          <w:ilvl w:val="0"/>
          <w:numId w:val="11"/>
        </w:numPr>
        <w:spacing w:after="0" w:line="288" w:lineRule="auto"/>
        <w:ind w:left="540" w:hanging="180"/>
        <w:rPr>
          <w:rFonts w:ascii="Source Sans Pro" w:hAnsi="Source Sans Pro" w:cs="Times New Roman"/>
          <w:sz w:val="24"/>
          <w:szCs w:val="24"/>
        </w:rPr>
      </w:pPr>
      <w:r w:rsidRPr="00915E84">
        <w:rPr>
          <w:rFonts w:ascii="Source Sans Pro" w:hAnsi="Source Sans Pro" w:cs="Times New Roman"/>
          <w:sz w:val="24"/>
          <w:szCs w:val="24"/>
        </w:rPr>
        <w:t>Complete license application including paying a fee of $600 every year.</w:t>
      </w:r>
    </w:p>
    <w:p w14:paraId="0741F3CF" w14:textId="77777777" w:rsidR="00B65FFF" w:rsidRPr="00915E84" w:rsidRDefault="00B65FFF" w:rsidP="006D466B">
      <w:pPr>
        <w:pStyle w:val="ListParagraph"/>
        <w:numPr>
          <w:ilvl w:val="0"/>
          <w:numId w:val="11"/>
        </w:numPr>
        <w:spacing w:after="0" w:line="288" w:lineRule="auto"/>
        <w:ind w:left="540" w:hanging="180"/>
        <w:rPr>
          <w:rFonts w:ascii="Source Sans Pro" w:hAnsi="Source Sans Pro" w:cs="Times New Roman"/>
          <w:sz w:val="24"/>
          <w:szCs w:val="24"/>
        </w:rPr>
      </w:pPr>
      <w:r w:rsidRPr="00915E84">
        <w:rPr>
          <w:rFonts w:ascii="Source Sans Pro" w:hAnsi="Source Sans Pro" w:cs="Times New Roman"/>
          <w:sz w:val="24"/>
          <w:szCs w:val="24"/>
        </w:rPr>
        <w:t>Participate in nine hours of continuing education every year.</w:t>
      </w:r>
    </w:p>
    <w:p w14:paraId="0832FAE2" w14:textId="77777777" w:rsidR="00B65FFF" w:rsidRPr="00915E84" w:rsidRDefault="00B65FFF" w:rsidP="006D466B">
      <w:pPr>
        <w:pStyle w:val="ListParagraph"/>
        <w:numPr>
          <w:ilvl w:val="0"/>
          <w:numId w:val="11"/>
        </w:numPr>
        <w:spacing w:after="0" w:line="288" w:lineRule="auto"/>
        <w:ind w:left="540" w:hanging="180"/>
        <w:rPr>
          <w:rFonts w:ascii="Source Sans Pro" w:hAnsi="Source Sans Pro" w:cs="Times New Roman"/>
          <w:sz w:val="24"/>
          <w:szCs w:val="24"/>
        </w:rPr>
      </w:pPr>
      <w:r w:rsidRPr="00915E84">
        <w:rPr>
          <w:rFonts w:ascii="Source Sans Pro" w:hAnsi="Source Sans Pro" w:cs="Times New Roman"/>
          <w:sz w:val="24"/>
          <w:szCs w:val="24"/>
        </w:rPr>
        <w:t>Every two years, pay $184 exam fee and pass a written “examination that demonstrates an essential degree of knowledge of the current laws and administrative regulations concerning farm labor contractors as the Labor Commissioner deems necessary for the safety and protection of farmers, farmworkers, and the public, including the identification and prevention of sexual harassment in the workplace. To successfully complete the examinations, the person must correctly answer at least 85 percent of the questions posed. The examination period shall not exceed four hours. The examination may only be taken a maximum of three times in a calendar year.”</w:t>
      </w:r>
    </w:p>
    <w:p w14:paraId="26CF69CC" w14:textId="77777777" w:rsidR="00B65FFF" w:rsidRPr="00915E84" w:rsidRDefault="00B65FFF" w:rsidP="006D466B">
      <w:pPr>
        <w:pStyle w:val="ListParagraph"/>
        <w:numPr>
          <w:ilvl w:val="0"/>
          <w:numId w:val="11"/>
        </w:numPr>
        <w:spacing w:after="0" w:line="288" w:lineRule="auto"/>
        <w:ind w:left="540" w:hanging="180"/>
        <w:rPr>
          <w:rFonts w:ascii="Source Sans Pro" w:hAnsi="Source Sans Pro" w:cs="Times New Roman"/>
          <w:sz w:val="24"/>
          <w:szCs w:val="24"/>
        </w:rPr>
      </w:pPr>
      <w:r w:rsidRPr="00915E84">
        <w:rPr>
          <w:rFonts w:ascii="Source Sans Pro" w:hAnsi="Source Sans Pro" w:cs="Times New Roman"/>
          <w:sz w:val="24"/>
          <w:szCs w:val="24"/>
        </w:rPr>
        <w:t>License application includes:</w:t>
      </w:r>
    </w:p>
    <w:p w14:paraId="7E1A8BB3" w14:textId="77777777" w:rsidR="00B65FFF" w:rsidRPr="00915E84" w:rsidRDefault="00B65FFF" w:rsidP="006D466B">
      <w:pPr>
        <w:pStyle w:val="ListParagraph"/>
        <w:numPr>
          <w:ilvl w:val="1"/>
          <w:numId w:val="16"/>
        </w:numPr>
        <w:spacing w:after="0" w:line="288" w:lineRule="auto"/>
        <w:ind w:left="1080" w:hanging="270"/>
        <w:rPr>
          <w:rFonts w:ascii="Source Sans Pro" w:hAnsi="Source Sans Pro" w:cs="Times New Roman"/>
          <w:sz w:val="24"/>
          <w:szCs w:val="24"/>
        </w:rPr>
      </w:pPr>
      <w:r w:rsidRPr="00915E84">
        <w:rPr>
          <w:rFonts w:ascii="Source Sans Pro" w:hAnsi="Source Sans Pro" w:cs="Times New Roman"/>
          <w:sz w:val="24"/>
          <w:szCs w:val="24"/>
        </w:rPr>
        <w:t>Federal FLC registration card(s)</w:t>
      </w:r>
    </w:p>
    <w:p w14:paraId="32BFCE52" w14:textId="59E65D65" w:rsidR="00B65FFF" w:rsidRPr="00543BB2" w:rsidRDefault="00B65FFF" w:rsidP="006D466B">
      <w:pPr>
        <w:pStyle w:val="ListParagraph"/>
        <w:numPr>
          <w:ilvl w:val="1"/>
          <w:numId w:val="16"/>
        </w:numPr>
        <w:spacing w:after="0" w:line="288" w:lineRule="auto"/>
        <w:ind w:left="1080" w:hanging="270"/>
        <w:rPr>
          <w:rFonts w:ascii="Source Sans Pro" w:hAnsi="Source Sans Pro" w:cs="Times New Roman"/>
          <w:sz w:val="24"/>
          <w:szCs w:val="24"/>
        </w:rPr>
      </w:pPr>
      <w:r w:rsidRPr="00543BB2">
        <w:rPr>
          <w:rFonts w:ascii="Source Sans Pro" w:hAnsi="Source Sans Pro" w:cs="Times New Roman"/>
          <w:sz w:val="24"/>
          <w:szCs w:val="24"/>
        </w:rPr>
        <w:t>Fingerprint card</w:t>
      </w:r>
      <w:r w:rsidR="00543BB2" w:rsidRPr="00543BB2">
        <w:rPr>
          <w:rFonts w:ascii="Source Sans Pro" w:hAnsi="Source Sans Pro" w:cs="Times New Roman"/>
          <w:sz w:val="24"/>
          <w:szCs w:val="24"/>
        </w:rPr>
        <w:t xml:space="preserve"> &amp; </w:t>
      </w:r>
      <w:r w:rsidRPr="00543BB2">
        <w:rPr>
          <w:rFonts w:ascii="Source Sans Pro" w:hAnsi="Source Sans Pro" w:cs="Times New Roman"/>
          <w:sz w:val="24"/>
          <w:szCs w:val="24"/>
        </w:rPr>
        <w:t>Live scan for all officers/members</w:t>
      </w:r>
    </w:p>
    <w:p w14:paraId="035AFA28" w14:textId="77777777" w:rsidR="00B65FFF" w:rsidRPr="00915E84" w:rsidRDefault="00B65FFF" w:rsidP="006D466B">
      <w:pPr>
        <w:pStyle w:val="ListParagraph"/>
        <w:numPr>
          <w:ilvl w:val="1"/>
          <w:numId w:val="16"/>
        </w:numPr>
        <w:spacing w:after="0" w:line="288" w:lineRule="auto"/>
        <w:ind w:left="1080" w:hanging="270"/>
        <w:rPr>
          <w:rFonts w:ascii="Source Sans Pro" w:hAnsi="Source Sans Pro" w:cs="Times New Roman"/>
          <w:sz w:val="24"/>
          <w:szCs w:val="24"/>
        </w:rPr>
      </w:pPr>
      <w:r w:rsidRPr="00915E84">
        <w:rPr>
          <w:rFonts w:ascii="Source Sans Pro" w:hAnsi="Source Sans Pro" w:cs="Times New Roman"/>
          <w:sz w:val="24"/>
          <w:szCs w:val="24"/>
        </w:rPr>
        <w:t xml:space="preserve">Articles of </w:t>
      </w:r>
      <w:r>
        <w:rPr>
          <w:rFonts w:ascii="Source Sans Pro" w:hAnsi="Source Sans Pro" w:cs="Times New Roman"/>
          <w:sz w:val="24"/>
          <w:szCs w:val="24"/>
        </w:rPr>
        <w:t>I</w:t>
      </w:r>
      <w:r w:rsidRPr="00915E84">
        <w:rPr>
          <w:rFonts w:ascii="Source Sans Pro" w:hAnsi="Source Sans Pro" w:cs="Times New Roman"/>
          <w:sz w:val="24"/>
          <w:szCs w:val="24"/>
        </w:rPr>
        <w:t>ncorporation</w:t>
      </w:r>
      <w:r>
        <w:rPr>
          <w:rFonts w:ascii="Source Sans Pro" w:hAnsi="Source Sans Pro" w:cs="Times New Roman"/>
          <w:sz w:val="24"/>
          <w:szCs w:val="24"/>
        </w:rPr>
        <w:t>/Organization and Statement of Information</w:t>
      </w:r>
      <w:r w:rsidRPr="00915E84">
        <w:rPr>
          <w:rFonts w:ascii="Source Sans Pro" w:hAnsi="Source Sans Pro" w:cs="Times New Roman"/>
          <w:sz w:val="24"/>
          <w:szCs w:val="24"/>
        </w:rPr>
        <w:t xml:space="preserve"> from SOS</w:t>
      </w:r>
    </w:p>
    <w:p w14:paraId="543B8641" w14:textId="77777777" w:rsidR="00B65FFF" w:rsidRDefault="00B65FFF" w:rsidP="006D466B">
      <w:pPr>
        <w:pStyle w:val="ListParagraph"/>
        <w:numPr>
          <w:ilvl w:val="1"/>
          <w:numId w:val="16"/>
        </w:numPr>
        <w:spacing w:after="0" w:line="288" w:lineRule="auto"/>
        <w:ind w:left="1080" w:hanging="270"/>
        <w:rPr>
          <w:rFonts w:ascii="Source Sans Pro" w:hAnsi="Source Sans Pro" w:cs="Times New Roman"/>
          <w:sz w:val="24"/>
          <w:szCs w:val="24"/>
        </w:rPr>
      </w:pPr>
      <w:r>
        <w:rPr>
          <w:rFonts w:ascii="Source Sans Pro" w:hAnsi="Source Sans Pro" w:cs="Times New Roman"/>
          <w:sz w:val="24"/>
          <w:szCs w:val="24"/>
        </w:rPr>
        <w:t>FEIN with the IRS</w:t>
      </w:r>
    </w:p>
    <w:p w14:paraId="0A9A4E86" w14:textId="77777777" w:rsidR="00B65FFF" w:rsidRPr="00915E84" w:rsidRDefault="00B65FFF" w:rsidP="006D466B">
      <w:pPr>
        <w:pStyle w:val="ListParagraph"/>
        <w:numPr>
          <w:ilvl w:val="1"/>
          <w:numId w:val="16"/>
        </w:numPr>
        <w:spacing w:after="0" w:line="288" w:lineRule="auto"/>
        <w:ind w:left="1080" w:hanging="270"/>
        <w:rPr>
          <w:rFonts w:ascii="Source Sans Pro" w:hAnsi="Source Sans Pro" w:cs="Times New Roman"/>
          <w:sz w:val="24"/>
          <w:szCs w:val="24"/>
        </w:rPr>
      </w:pPr>
      <w:r w:rsidRPr="00915E84">
        <w:rPr>
          <w:rFonts w:ascii="Source Sans Pro" w:hAnsi="Source Sans Pro" w:cs="Times New Roman"/>
          <w:sz w:val="24"/>
          <w:szCs w:val="24"/>
        </w:rPr>
        <w:t>Harassment disclosure forms for all supervisory staff</w:t>
      </w:r>
    </w:p>
    <w:p w14:paraId="5CC3152A" w14:textId="77777777" w:rsidR="00B65FFF" w:rsidRPr="00915E84" w:rsidRDefault="00B65FFF" w:rsidP="006D466B">
      <w:pPr>
        <w:pStyle w:val="ListParagraph"/>
        <w:numPr>
          <w:ilvl w:val="1"/>
          <w:numId w:val="16"/>
        </w:numPr>
        <w:spacing w:after="0" w:line="288" w:lineRule="auto"/>
        <w:ind w:left="1080" w:hanging="270"/>
        <w:rPr>
          <w:rFonts w:ascii="Source Sans Pro" w:hAnsi="Source Sans Pro" w:cs="Times New Roman"/>
          <w:sz w:val="24"/>
          <w:szCs w:val="24"/>
        </w:rPr>
      </w:pPr>
      <w:r w:rsidRPr="00915E84">
        <w:rPr>
          <w:rFonts w:ascii="Source Sans Pro" w:hAnsi="Source Sans Pro" w:cs="Times New Roman"/>
          <w:sz w:val="24"/>
          <w:szCs w:val="24"/>
        </w:rPr>
        <w:t>Passport photos</w:t>
      </w:r>
      <w:r w:rsidRPr="00E97205">
        <w:rPr>
          <w:rFonts w:ascii="Source Sans Pro" w:hAnsi="Source Sans Pro" w:cs="Times New Roman"/>
          <w:sz w:val="24"/>
          <w:szCs w:val="24"/>
        </w:rPr>
        <w:t xml:space="preserve"> </w:t>
      </w:r>
      <w:r>
        <w:rPr>
          <w:rFonts w:ascii="Source Sans Pro" w:hAnsi="Source Sans Pro" w:cs="Times New Roman"/>
          <w:sz w:val="24"/>
          <w:szCs w:val="24"/>
        </w:rPr>
        <w:t>for all officers/members</w:t>
      </w:r>
    </w:p>
    <w:p w14:paraId="430FC5B9" w14:textId="77777777" w:rsidR="00B65FFF" w:rsidRPr="00915E84" w:rsidRDefault="00B65FFF" w:rsidP="006D466B">
      <w:pPr>
        <w:pStyle w:val="ListParagraph"/>
        <w:numPr>
          <w:ilvl w:val="1"/>
          <w:numId w:val="16"/>
        </w:numPr>
        <w:spacing w:after="0" w:line="288" w:lineRule="auto"/>
        <w:ind w:left="1080" w:hanging="270"/>
        <w:rPr>
          <w:rFonts w:ascii="Source Sans Pro" w:hAnsi="Source Sans Pro" w:cs="Times New Roman"/>
          <w:sz w:val="24"/>
          <w:szCs w:val="24"/>
        </w:rPr>
      </w:pPr>
      <w:r w:rsidRPr="00915E84">
        <w:rPr>
          <w:rFonts w:ascii="Source Sans Pro" w:hAnsi="Source Sans Pro" w:cs="Times New Roman"/>
          <w:sz w:val="24"/>
          <w:szCs w:val="24"/>
        </w:rPr>
        <w:t>Driver’s license</w:t>
      </w:r>
      <w:r w:rsidRPr="00E97205">
        <w:rPr>
          <w:rFonts w:ascii="Source Sans Pro" w:hAnsi="Source Sans Pro" w:cs="Times New Roman"/>
          <w:sz w:val="24"/>
          <w:szCs w:val="24"/>
        </w:rPr>
        <w:t xml:space="preserve"> </w:t>
      </w:r>
      <w:r>
        <w:rPr>
          <w:rFonts w:ascii="Source Sans Pro" w:hAnsi="Source Sans Pro" w:cs="Times New Roman"/>
          <w:sz w:val="24"/>
          <w:szCs w:val="24"/>
        </w:rPr>
        <w:t>for all officers/members</w:t>
      </w:r>
    </w:p>
    <w:p w14:paraId="4F211F66" w14:textId="77777777" w:rsidR="00B65FFF" w:rsidRPr="00915E84" w:rsidRDefault="00B65FFF" w:rsidP="006D466B">
      <w:pPr>
        <w:pStyle w:val="ListParagraph"/>
        <w:numPr>
          <w:ilvl w:val="1"/>
          <w:numId w:val="16"/>
        </w:numPr>
        <w:spacing w:after="0" w:line="288" w:lineRule="auto"/>
        <w:ind w:left="1080" w:hanging="270"/>
        <w:rPr>
          <w:rFonts w:ascii="Source Sans Pro" w:hAnsi="Source Sans Pro" w:cs="Times New Roman"/>
          <w:sz w:val="24"/>
          <w:szCs w:val="24"/>
        </w:rPr>
      </w:pPr>
      <w:r w:rsidRPr="00915E84">
        <w:rPr>
          <w:rFonts w:ascii="Source Sans Pro" w:hAnsi="Source Sans Pro" w:cs="Times New Roman"/>
          <w:sz w:val="24"/>
          <w:szCs w:val="24"/>
        </w:rPr>
        <w:t>Proof of workers’ compensation insurance</w:t>
      </w:r>
    </w:p>
    <w:p w14:paraId="44BE7A0D" w14:textId="77777777" w:rsidR="00B65FFF" w:rsidRPr="00915E84" w:rsidRDefault="00B65FFF" w:rsidP="006D466B">
      <w:pPr>
        <w:pStyle w:val="ListParagraph"/>
        <w:numPr>
          <w:ilvl w:val="1"/>
          <w:numId w:val="16"/>
        </w:numPr>
        <w:spacing w:after="0" w:line="288" w:lineRule="auto"/>
        <w:ind w:left="1080" w:hanging="270"/>
        <w:rPr>
          <w:rFonts w:ascii="Source Sans Pro" w:hAnsi="Source Sans Pro" w:cs="Times New Roman"/>
          <w:sz w:val="24"/>
          <w:szCs w:val="24"/>
        </w:rPr>
      </w:pPr>
      <w:r w:rsidRPr="00915E84">
        <w:rPr>
          <w:rFonts w:ascii="Source Sans Pro" w:hAnsi="Source Sans Pro" w:cs="Times New Roman"/>
          <w:sz w:val="24"/>
          <w:szCs w:val="24"/>
        </w:rPr>
        <w:t>Quarterly payroll reports</w:t>
      </w:r>
    </w:p>
    <w:p w14:paraId="5A5D1113" w14:textId="77777777" w:rsidR="00B65FFF" w:rsidRDefault="00B65FFF" w:rsidP="006D466B">
      <w:pPr>
        <w:pStyle w:val="ListParagraph"/>
        <w:numPr>
          <w:ilvl w:val="1"/>
          <w:numId w:val="16"/>
        </w:numPr>
        <w:spacing w:after="0" w:line="288" w:lineRule="auto"/>
        <w:ind w:left="1080" w:hanging="270"/>
        <w:rPr>
          <w:rFonts w:ascii="Source Sans Pro" w:hAnsi="Source Sans Pro" w:cs="Times New Roman"/>
          <w:sz w:val="24"/>
          <w:szCs w:val="24"/>
        </w:rPr>
      </w:pPr>
      <w:r w:rsidRPr="00915E84">
        <w:rPr>
          <w:rFonts w:ascii="Source Sans Pro" w:hAnsi="Source Sans Pro" w:cs="Times New Roman"/>
          <w:sz w:val="24"/>
          <w:szCs w:val="24"/>
        </w:rPr>
        <w:t>County registration permits</w:t>
      </w:r>
    </w:p>
    <w:p w14:paraId="3F64E343" w14:textId="77777777" w:rsidR="00B65FFF" w:rsidRPr="00915E84" w:rsidRDefault="00B65FFF" w:rsidP="006D466B">
      <w:pPr>
        <w:pStyle w:val="ListParagraph"/>
        <w:numPr>
          <w:ilvl w:val="1"/>
          <w:numId w:val="16"/>
        </w:numPr>
        <w:spacing w:after="0" w:line="288" w:lineRule="auto"/>
        <w:ind w:left="1080" w:hanging="270"/>
        <w:rPr>
          <w:rFonts w:ascii="Source Sans Pro" w:hAnsi="Source Sans Pro" w:cs="Times New Roman"/>
          <w:sz w:val="24"/>
          <w:szCs w:val="24"/>
        </w:rPr>
      </w:pPr>
      <w:r>
        <w:rPr>
          <w:rFonts w:ascii="Source Sans Pro" w:hAnsi="Source Sans Pro" w:cs="Times New Roman"/>
          <w:sz w:val="24"/>
          <w:szCs w:val="24"/>
        </w:rPr>
        <w:t>Information on grower clients</w:t>
      </w:r>
    </w:p>
    <w:p w14:paraId="1C6F679F" w14:textId="77777777" w:rsidR="00B65FFF" w:rsidRPr="00915E84" w:rsidRDefault="00B65FFF" w:rsidP="006D466B">
      <w:pPr>
        <w:pStyle w:val="ListParagraph"/>
        <w:numPr>
          <w:ilvl w:val="1"/>
          <w:numId w:val="16"/>
        </w:numPr>
        <w:spacing w:after="0" w:line="288" w:lineRule="auto"/>
        <w:ind w:left="1080" w:hanging="270"/>
        <w:rPr>
          <w:rFonts w:ascii="Source Sans Pro" w:hAnsi="Source Sans Pro" w:cs="Times New Roman"/>
          <w:sz w:val="24"/>
          <w:szCs w:val="24"/>
        </w:rPr>
      </w:pPr>
      <w:r w:rsidRPr="00915E84">
        <w:rPr>
          <w:rFonts w:ascii="Source Sans Pro" w:hAnsi="Source Sans Pro" w:cs="Times New Roman"/>
          <w:sz w:val="24"/>
          <w:szCs w:val="24"/>
        </w:rPr>
        <w:t>Information on delinquent unpaid wages, unpaid judgements outstanding, taxes owed, criminal history, family members.</w:t>
      </w:r>
    </w:p>
    <w:bookmarkEnd w:id="0"/>
    <w:p w14:paraId="78E6EFE9" w14:textId="77777777" w:rsidR="00B65FFF" w:rsidRPr="00915E84" w:rsidRDefault="00B65FFF" w:rsidP="006D466B">
      <w:pPr>
        <w:pStyle w:val="ListParagraph"/>
        <w:numPr>
          <w:ilvl w:val="1"/>
          <w:numId w:val="16"/>
        </w:numPr>
        <w:spacing w:after="0" w:line="288" w:lineRule="auto"/>
        <w:ind w:left="1080" w:hanging="270"/>
        <w:rPr>
          <w:rFonts w:ascii="Source Sans Pro" w:hAnsi="Source Sans Pro" w:cs="Times New Roman"/>
          <w:sz w:val="24"/>
          <w:szCs w:val="24"/>
        </w:rPr>
      </w:pPr>
      <w:r w:rsidRPr="00915E84">
        <w:rPr>
          <w:rFonts w:ascii="Source Sans Pro" w:hAnsi="Source Sans Pro" w:cs="Times New Roman"/>
          <w:sz w:val="24"/>
          <w:szCs w:val="24"/>
        </w:rPr>
        <w:t>Additional requirements for FLCs that transport or provide lodging to workers.</w:t>
      </w:r>
    </w:p>
    <w:p w14:paraId="02256288" w14:textId="77777777" w:rsidR="006D466B" w:rsidRDefault="006D466B" w:rsidP="007F1A3D">
      <w:pPr>
        <w:spacing w:after="120" w:line="240" w:lineRule="auto"/>
        <w:jc w:val="center"/>
        <w:rPr>
          <w:rFonts w:ascii="Source Sans Pro SemiBold" w:hAnsi="Source Sans Pro SemiBold" w:cs="Times New Roman"/>
          <w:sz w:val="28"/>
          <w:szCs w:val="28"/>
        </w:rPr>
      </w:pPr>
    </w:p>
    <w:p w14:paraId="468E3DE3" w14:textId="77777777" w:rsidR="006D466B" w:rsidRDefault="006D466B" w:rsidP="007F1A3D">
      <w:pPr>
        <w:spacing w:after="120" w:line="240" w:lineRule="auto"/>
        <w:jc w:val="center"/>
        <w:rPr>
          <w:rFonts w:ascii="Source Sans Pro SemiBold" w:hAnsi="Source Sans Pro SemiBold" w:cs="Times New Roman"/>
          <w:sz w:val="28"/>
          <w:szCs w:val="28"/>
        </w:rPr>
      </w:pPr>
    </w:p>
    <w:p w14:paraId="5BFDCAAE" w14:textId="77777777" w:rsidR="006D466B" w:rsidRDefault="006D466B" w:rsidP="007F1A3D">
      <w:pPr>
        <w:spacing w:after="120" w:line="240" w:lineRule="auto"/>
        <w:jc w:val="center"/>
        <w:rPr>
          <w:rFonts w:ascii="Source Sans Pro SemiBold" w:hAnsi="Source Sans Pro SemiBold" w:cs="Times New Roman"/>
          <w:sz w:val="28"/>
          <w:szCs w:val="28"/>
        </w:rPr>
      </w:pPr>
    </w:p>
    <w:p w14:paraId="22032373" w14:textId="77777777" w:rsidR="00DC67FF" w:rsidRDefault="00DC67FF" w:rsidP="00DC67FF">
      <w:pPr>
        <w:spacing w:after="120" w:line="240" w:lineRule="auto"/>
        <w:rPr>
          <w:rFonts w:ascii="Source Sans Pro" w:hAnsi="Source Sans Pro" w:cs="Times New Roman"/>
          <w:sz w:val="24"/>
          <w:szCs w:val="24"/>
        </w:rPr>
      </w:pPr>
      <w:r>
        <w:rPr>
          <w:rFonts w:ascii="Source Sans Pro" w:hAnsi="Source Sans Pro" w:cs="Times New Roman"/>
          <w:sz w:val="24"/>
          <w:szCs w:val="24"/>
        </w:rPr>
        <w:t>For more information on the issues FLCs are facing due to CA DLSE mismanagement please contact:</w:t>
      </w:r>
    </w:p>
    <w:p w14:paraId="6D73C7D2" w14:textId="77777777" w:rsidR="00DC67FF" w:rsidRDefault="00DC67FF" w:rsidP="00DC67FF">
      <w:pPr>
        <w:spacing w:after="120" w:line="240" w:lineRule="auto"/>
        <w:jc w:val="center"/>
        <w:rPr>
          <w:rFonts w:ascii="Source Sans Pro" w:hAnsi="Source Sans Pro" w:cs="Times New Roman"/>
          <w:sz w:val="24"/>
          <w:szCs w:val="24"/>
        </w:rPr>
      </w:pPr>
      <w:r>
        <w:rPr>
          <w:rFonts w:ascii="Source Sans Pro" w:hAnsi="Source Sans Pro" w:cs="Times New Roman"/>
          <w:sz w:val="24"/>
          <w:szCs w:val="24"/>
        </w:rPr>
        <w:t>California Farm Labor Contractor Association</w:t>
      </w:r>
    </w:p>
    <w:p w14:paraId="0A9804B3" w14:textId="168BADF7" w:rsidR="00AE7CC9" w:rsidRDefault="00000000" w:rsidP="00DC67FF">
      <w:pPr>
        <w:spacing w:after="120" w:line="240" w:lineRule="auto"/>
        <w:jc w:val="center"/>
        <w:rPr>
          <w:rFonts w:ascii="Times New Roman" w:hAnsi="Times New Roman" w:cs="Times New Roman"/>
          <w:sz w:val="24"/>
          <w:szCs w:val="24"/>
        </w:rPr>
      </w:pPr>
      <w:hyperlink r:id="rId6" w:history="1">
        <w:r w:rsidR="00DC67FF" w:rsidRPr="00B73163">
          <w:rPr>
            <w:rStyle w:val="Hyperlink"/>
            <w:rFonts w:ascii="Source Sans Pro" w:hAnsi="Source Sans Pro" w:cs="Times New Roman"/>
            <w:sz w:val="24"/>
            <w:szCs w:val="24"/>
          </w:rPr>
          <w:t>info@CalFLCA.org</w:t>
        </w:r>
      </w:hyperlink>
      <w:r w:rsidR="00DC67FF">
        <w:rPr>
          <w:rFonts w:ascii="Source Sans Pro" w:hAnsi="Source Sans Pro" w:cs="Times New Roman"/>
          <w:sz w:val="24"/>
          <w:szCs w:val="24"/>
        </w:rPr>
        <w:t xml:space="preserve"> • 916-</w:t>
      </w:r>
      <w:r w:rsidR="00DC67FF" w:rsidRPr="005950CC">
        <w:rPr>
          <w:rFonts w:ascii="Source Sans Pro" w:hAnsi="Source Sans Pro" w:cs="Times New Roman"/>
          <w:sz w:val="24"/>
          <w:szCs w:val="24"/>
        </w:rPr>
        <w:t>389-1246</w:t>
      </w:r>
    </w:p>
    <w:sectPr w:rsidR="00AE7CC9" w:rsidSect="00C12D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327"/>
    <w:multiLevelType w:val="hybridMultilevel"/>
    <w:tmpl w:val="E5408D0A"/>
    <w:lvl w:ilvl="0" w:tplc="FFFFFFFF">
      <w:start w:val="1"/>
      <w:numFmt w:val="bullet"/>
      <w:lvlText w:val=""/>
      <w:lvlJc w:val="left"/>
      <w:pPr>
        <w:ind w:left="720" w:hanging="360"/>
      </w:pPr>
      <w:rPr>
        <w:rFonts w:ascii="Symbol" w:hAnsi="Symbol" w:hint="default"/>
      </w:rPr>
    </w:lvl>
    <w:lvl w:ilvl="1" w:tplc="54F00D5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DE135E"/>
    <w:multiLevelType w:val="hybridMultilevel"/>
    <w:tmpl w:val="7F789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41BF7"/>
    <w:multiLevelType w:val="hybridMultilevel"/>
    <w:tmpl w:val="21C27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A5066F"/>
    <w:multiLevelType w:val="hybridMultilevel"/>
    <w:tmpl w:val="B6E04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F0E9C"/>
    <w:multiLevelType w:val="hybridMultilevel"/>
    <w:tmpl w:val="911EA2AC"/>
    <w:lvl w:ilvl="0" w:tplc="DF36B93A">
      <w:start w:val="1"/>
      <w:numFmt w:val="decimal"/>
      <w:lvlText w:val="%1."/>
      <w:lvlJc w:val="left"/>
      <w:pPr>
        <w:ind w:left="720" w:hanging="360"/>
      </w:pPr>
      <w:rPr>
        <w:rFonts w:ascii="Source Sans Pro SemiBold" w:hAnsi="Source Sans Pro SemiBold"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529B4"/>
    <w:multiLevelType w:val="hybridMultilevel"/>
    <w:tmpl w:val="407A0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4179F"/>
    <w:multiLevelType w:val="hybridMultilevel"/>
    <w:tmpl w:val="6F2ED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808CE"/>
    <w:multiLevelType w:val="hybridMultilevel"/>
    <w:tmpl w:val="CA525C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39081586"/>
    <w:multiLevelType w:val="hybridMultilevel"/>
    <w:tmpl w:val="F4D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7651D"/>
    <w:multiLevelType w:val="hybridMultilevel"/>
    <w:tmpl w:val="5BC29716"/>
    <w:lvl w:ilvl="0" w:tplc="A1BAC898">
      <w:start w:val="1"/>
      <w:numFmt w:val="decimal"/>
      <w:lvlText w:val="%1."/>
      <w:lvlJc w:val="left"/>
      <w:pPr>
        <w:ind w:left="540" w:hanging="360"/>
      </w:pPr>
      <w:rPr>
        <w:rFonts w:hint="default"/>
        <w:b/>
        <w:bCs/>
        <w:i w:val="0"/>
        <w:i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96094"/>
    <w:multiLevelType w:val="hybridMultilevel"/>
    <w:tmpl w:val="C826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235A5"/>
    <w:multiLevelType w:val="hybridMultilevel"/>
    <w:tmpl w:val="7D1E4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21064"/>
    <w:multiLevelType w:val="hybridMultilevel"/>
    <w:tmpl w:val="18E67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66F82"/>
    <w:multiLevelType w:val="hybridMultilevel"/>
    <w:tmpl w:val="5CF6E42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654002C4"/>
    <w:multiLevelType w:val="hybridMultilevel"/>
    <w:tmpl w:val="8D64D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50554"/>
    <w:multiLevelType w:val="hybridMultilevel"/>
    <w:tmpl w:val="4478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371A20"/>
    <w:multiLevelType w:val="hybridMultilevel"/>
    <w:tmpl w:val="30523A1C"/>
    <w:lvl w:ilvl="0" w:tplc="7304E10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520992"/>
    <w:multiLevelType w:val="hybridMultilevel"/>
    <w:tmpl w:val="BA341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1626E"/>
    <w:multiLevelType w:val="multilevel"/>
    <w:tmpl w:val="C320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721091">
    <w:abstractNumId w:val="3"/>
  </w:num>
  <w:num w:numId="2" w16cid:durableId="137889981">
    <w:abstractNumId w:val="6"/>
  </w:num>
  <w:num w:numId="3" w16cid:durableId="1933774936">
    <w:abstractNumId w:val="12"/>
  </w:num>
  <w:num w:numId="4" w16cid:durableId="592128353">
    <w:abstractNumId w:val="14"/>
  </w:num>
  <w:num w:numId="5" w16cid:durableId="658651671">
    <w:abstractNumId w:val="17"/>
  </w:num>
  <w:num w:numId="6" w16cid:durableId="2133746198">
    <w:abstractNumId w:val="8"/>
  </w:num>
  <w:num w:numId="7" w16cid:durableId="957294319">
    <w:abstractNumId w:val="11"/>
  </w:num>
  <w:num w:numId="8" w16cid:durableId="2058889342">
    <w:abstractNumId w:val="7"/>
  </w:num>
  <w:num w:numId="9" w16cid:durableId="667634524">
    <w:abstractNumId w:val="10"/>
  </w:num>
  <w:num w:numId="10" w16cid:durableId="1104809776">
    <w:abstractNumId w:val="18"/>
  </w:num>
  <w:num w:numId="11" w16cid:durableId="1131561214">
    <w:abstractNumId w:val="1"/>
  </w:num>
  <w:num w:numId="12" w16cid:durableId="1597207775">
    <w:abstractNumId w:val="13"/>
  </w:num>
  <w:num w:numId="13" w16cid:durableId="1154758006">
    <w:abstractNumId w:val="15"/>
  </w:num>
  <w:num w:numId="14" w16cid:durableId="653603798">
    <w:abstractNumId w:val="5"/>
  </w:num>
  <w:num w:numId="15" w16cid:durableId="1183934851">
    <w:abstractNumId w:val="2"/>
  </w:num>
  <w:num w:numId="16" w16cid:durableId="2116628162">
    <w:abstractNumId w:val="0"/>
  </w:num>
  <w:num w:numId="17" w16cid:durableId="772097130">
    <w:abstractNumId w:val="9"/>
  </w:num>
  <w:num w:numId="18" w16cid:durableId="1816334556">
    <w:abstractNumId w:val="16"/>
  </w:num>
  <w:num w:numId="19" w16cid:durableId="1340499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6D"/>
    <w:rsid w:val="00000027"/>
    <w:rsid w:val="000250CE"/>
    <w:rsid w:val="000378DF"/>
    <w:rsid w:val="00047488"/>
    <w:rsid w:val="00062274"/>
    <w:rsid w:val="000750B8"/>
    <w:rsid w:val="00086D35"/>
    <w:rsid w:val="00086D83"/>
    <w:rsid w:val="00086F39"/>
    <w:rsid w:val="000916CF"/>
    <w:rsid w:val="000929FD"/>
    <w:rsid w:val="000B170A"/>
    <w:rsid w:val="000B38FB"/>
    <w:rsid w:val="000D2043"/>
    <w:rsid w:val="000D3533"/>
    <w:rsid w:val="000D5287"/>
    <w:rsid w:val="000D7128"/>
    <w:rsid w:val="000E02B6"/>
    <w:rsid w:val="000E2668"/>
    <w:rsid w:val="000F383D"/>
    <w:rsid w:val="00102AF5"/>
    <w:rsid w:val="001164CA"/>
    <w:rsid w:val="00150349"/>
    <w:rsid w:val="00153313"/>
    <w:rsid w:val="001758CF"/>
    <w:rsid w:val="00175C1D"/>
    <w:rsid w:val="0017677C"/>
    <w:rsid w:val="00180F45"/>
    <w:rsid w:val="00185D60"/>
    <w:rsid w:val="00194103"/>
    <w:rsid w:val="00194C3F"/>
    <w:rsid w:val="001957C5"/>
    <w:rsid w:val="001A1EB3"/>
    <w:rsid w:val="001A72C9"/>
    <w:rsid w:val="001D0D51"/>
    <w:rsid w:val="001E1C15"/>
    <w:rsid w:val="001E6EB3"/>
    <w:rsid w:val="001F64C2"/>
    <w:rsid w:val="00202DFD"/>
    <w:rsid w:val="00204955"/>
    <w:rsid w:val="00206CE5"/>
    <w:rsid w:val="002102FB"/>
    <w:rsid w:val="002112CF"/>
    <w:rsid w:val="002118E1"/>
    <w:rsid w:val="00215E88"/>
    <w:rsid w:val="002161C2"/>
    <w:rsid w:val="00216DB2"/>
    <w:rsid w:val="00226D7E"/>
    <w:rsid w:val="00232209"/>
    <w:rsid w:val="002341DC"/>
    <w:rsid w:val="00236980"/>
    <w:rsid w:val="00240B2F"/>
    <w:rsid w:val="00241B99"/>
    <w:rsid w:val="00246927"/>
    <w:rsid w:val="002578ED"/>
    <w:rsid w:val="00262201"/>
    <w:rsid w:val="0027005B"/>
    <w:rsid w:val="00271C59"/>
    <w:rsid w:val="00274B23"/>
    <w:rsid w:val="00277CC6"/>
    <w:rsid w:val="0028414D"/>
    <w:rsid w:val="00284FA1"/>
    <w:rsid w:val="002869E9"/>
    <w:rsid w:val="00290FA4"/>
    <w:rsid w:val="00291EBE"/>
    <w:rsid w:val="00295BE8"/>
    <w:rsid w:val="002A009C"/>
    <w:rsid w:val="002B4B29"/>
    <w:rsid w:val="002C21CE"/>
    <w:rsid w:val="002C2268"/>
    <w:rsid w:val="002C3868"/>
    <w:rsid w:val="002C6978"/>
    <w:rsid w:val="002D0665"/>
    <w:rsid w:val="002D4135"/>
    <w:rsid w:val="002E1AA4"/>
    <w:rsid w:val="002E1F06"/>
    <w:rsid w:val="002E2ED7"/>
    <w:rsid w:val="002F5C5B"/>
    <w:rsid w:val="00301FC6"/>
    <w:rsid w:val="00304858"/>
    <w:rsid w:val="003168E2"/>
    <w:rsid w:val="003302C8"/>
    <w:rsid w:val="003305D4"/>
    <w:rsid w:val="00330F20"/>
    <w:rsid w:val="00335035"/>
    <w:rsid w:val="0034322A"/>
    <w:rsid w:val="00381BBB"/>
    <w:rsid w:val="00391026"/>
    <w:rsid w:val="003912BA"/>
    <w:rsid w:val="003B5B55"/>
    <w:rsid w:val="003C58FE"/>
    <w:rsid w:val="003C66C3"/>
    <w:rsid w:val="003D41BB"/>
    <w:rsid w:val="003D7B71"/>
    <w:rsid w:val="003E77BE"/>
    <w:rsid w:val="003F3D6D"/>
    <w:rsid w:val="00401766"/>
    <w:rsid w:val="004022FF"/>
    <w:rsid w:val="004039AF"/>
    <w:rsid w:val="00405800"/>
    <w:rsid w:val="00415556"/>
    <w:rsid w:val="00420D2B"/>
    <w:rsid w:val="0043013D"/>
    <w:rsid w:val="00432493"/>
    <w:rsid w:val="00457E61"/>
    <w:rsid w:val="00457F57"/>
    <w:rsid w:val="0046748D"/>
    <w:rsid w:val="00477A72"/>
    <w:rsid w:val="0048213B"/>
    <w:rsid w:val="0048365E"/>
    <w:rsid w:val="004912FB"/>
    <w:rsid w:val="004A478C"/>
    <w:rsid w:val="004A6FC6"/>
    <w:rsid w:val="004B4E9A"/>
    <w:rsid w:val="004B4EAA"/>
    <w:rsid w:val="004E0F26"/>
    <w:rsid w:val="004F6C47"/>
    <w:rsid w:val="004F79E8"/>
    <w:rsid w:val="00502986"/>
    <w:rsid w:val="0051202F"/>
    <w:rsid w:val="00517E15"/>
    <w:rsid w:val="00543BB2"/>
    <w:rsid w:val="00552D27"/>
    <w:rsid w:val="0055513C"/>
    <w:rsid w:val="0056106A"/>
    <w:rsid w:val="00570EC4"/>
    <w:rsid w:val="005736CC"/>
    <w:rsid w:val="00575361"/>
    <w:rsid w:val="00577A3B"/>
    <w:rsid w:val="0058028A"/>
    <w:rsid w:val="00593F46"/>
    <w:rsid w:val="005950CC"/>
    <w:rsid w:val="00595979"/>
    <w:rsid w:val="005A3B0A"/>
    <w:rsid w:val="005B0E1B"/>
    <w:rsid w:val="005B279F"/>
    <w:rsid w:val="005C1C25"/>
    <w:rsid w:val="005D56E8"/>
    <w:rsid w:val="005E2601"/>
    <w:rsid w:val="005E4C50"/>
    <w:rsid w:val="0060602D"/>
    <w:rsid w:val="006113C5"/>
    <w:rsid w:val="00615B8E"/>
    <w:rsid w:val="00615D87"/>
    <w:rsid w:val="00630F10"/>
    <w:rsid w:val="00634F09"/>
    <w:rsid w:val="00636339"/>
    <w:rsid w:val="0065651B"/>
    <w:rsid w:val="006605AA"/>
    <w:rsid w:val="00662D4F"/>
    <w:rsid w:val="006707AC"/>
    <w:rsid w:val="00672F66"/>
    <w:rsid w:val="006825E3"/>
    <w:rsid w:val="0069111F"/>
    <w:rsid w:val="00696AD3"/>
    <w:rsid w:val="00696EF4"/>
    <w:rsid w:val="006A37FB"/>
    <w:rsid w:val="006A4804"/>
    <w:rsid w:val="006A4D89"/>
    <w:rsid w:val="006B3330"/>
    <w:rsid w:val="006B5DF5"/>
    <w:rsid w:val="006C16C2"/>
    <w:rsid w:val="006C3BA2"/>
    <w:rsid w:val="006C5672"/>
    <w:rsid w:val="006D38BA"/>
    <w:rsid w:val="006D43D1"/>
    <w:rsid w:val="006D466B"/>
    <w:rsid w:val="006D55FE"/>
    <w:rsid w:val="006E4CF9"/>
    <w:rsid w:val="006F6307"/>
    <w:rsid w:val="006F7F51"/>
    <w:rsid w:val="00702E17"/>
    <w:rsid w:val="007101BC"/>
    <w:rsid w:val="00720C27"/>
    <w:rsid w:val="00725A28"/>
    <w:rsid w:val="00730BB4"/>
    <w:rsid w:val="00731EB4"/>
    <w:rsid w:val="00733F72"/>
    <w:rsid w:val="00742A0F"/>
    <w:rsid w:val="007436D6"/>
    <w:rsid w:val="00754D8A"/>
    <w:rsid w:val="007746CA"/>
    <w:rsid w:val="007A32BE"/>
    <w:rsid w:val="007B544B"/>
    <w:rsid w:val="007C5D4E"/>
    <w:rsid w:val="007C6606"/>
    <w:rsid w:val="007D1792"/>
    <w:rsid w:val="007E63CC"/>
    <w:rsid w:val="007E72A5"/>
    <w:rsid w:val="007F1A3D"/>
    <w:rsid w:val="007F3527"/>
    <w:rsid w:val="007F3C35"/>
    <w:rsid w:val="007F5E4D"/>
    <w:rsid w:val="00803111"/>
    <w:rsid w:val="008200AC"/>
    <w:rsid w:val="008241D2"/>
    <w:rsid w:val="00830BAA"/>
    <w:rsid w:val="008362CC"/>
    <w:rsid w:val="0084306E"/>
    <w:rsid w:val="008639AB"/>
    <w:rsid w:val="00876F70"/>
    <w:rsid w:val="00895122"/>
    <w:rsid w:val="008A3CA8"/>
    <w:rsid w:val="008A561E"/>
    <w:rsid w:val="008B726D"/>
    <w:rsid w:val="008C05BE"/>
    <w:rsid w:val="008C2324"/>
    <w:rsid w:val="008C3E13"/>
    <w:rsid w:val="008C7E15"/>
    <w:rsid w:val="008D1482"/>
    <w:rsid w:val="008D37B7"/>
    <w:rsid w:val="008D42FF"/>
    <w:rsid w:val="008D6007"/>
    <w:rsid w:val="008D66D9"/>
    <w:rsid w:val="008E1D1C"/>
    <w:rsid w:val="008E6D61"/>
    <w:rsid w:val="008F4BE3"/>
    <w:rsid w:val="008F7D81"/>
    <w:rsid w:val="0090154F"/>
    <w:rsid w:val="00906DF3"/>
    <w:rsid w:val="00906FE6"/>
    <w:rsid w:val="009154AA"/>
    <w:rsid w:val="00915E84"/>
    <w:rsid w:val="0091728E"/>
    <w:rsid w:val="00922B64"/>
    <w:rsid w:val="0093762C"/>
    <w:rsid w:val="009468CB"/>
    <w:rsid w:val="00950530"/>
    <w:rsid w:val="009536E8"/>
    <w:rsid w:val="00974E06"/>
    <w:rsid w:val="00982BC9"/>
    <w:rsid w:val="0099765B"/>
    <w:rsid w:val="009A3342"/>
    <w:rsid w:val="009A73F5"/>
    <w:rsid w:val="009C03EF"/>
    <w:rsid w:val="009C4F08"/>
    <w:rsid w:val="009E29C0"/>
    <w:rsid w:val="009F07E3"/>
    <w:rsid w:val="00A12829"/>
    <w:rsid w:val="00A21845"/>
    <w:rsid w:val="00A27422"/>
    <w:rsid w:val="00A3208D"/>
    <w:rsid w:val="00A36239"/>
    <w:rsid w:val="00A406E1"/>
    <w:rsid w:val="00A7070D"/>
    <w:rsid w:val="00A70EEE"/>
    <w:rsid w:val="00A7321C"/>
    <w:rsid w:val="00A860D1"/>
    <w:rsid w:val="00A86D9B"/>
    <w:rsid w:val="00AA1CDA"/>
    <w:rsid w:val="00AA1CDC"/>
    <w:rsid w:val="00AB11E2"/>
    <w:rsid w:val="00AB6545"/>
    <w:rsid w:val="00AC31C8"/>
    <w:rsid w:val="00AC4753"/>
    <w:rsid w:val="00AC53DB"/>
    <w:rsid w:val="00AC6F09"/>
    <w:rsid w:val="00AD5A0C"/>
    <w:rsid w:val="00AD6789"/>
    <w:rsid w:val="00AE1298"/>
    <w:rsid w:val="00AE25DB"/>
    <w:rsid w:val="00AE7CC9"/>
    <w:rsid w:val="00AF5F0A"/>
    <w:rsid w:val="00AF6B11"/>
    <w:rsid w:val="00B0731C"/>
    <w:rsid w:val="00B11E32"/>
    <w:rsid w:val="00B26FE9"/>
    <w:rsid w:val="00B45EC0"/>
    <w:rsid w:val="00B51660"/>
    <w:rsid w:val="00B51B86"/>
    <w:rsid w:val="00B56409"/>
    <w:rsid w:val="00B60BD6"/>
    <w:rsid w:val="00B646DA"/>
    <w:rsid w:val="00B65FFF"/>
    <w:rsid w:val="00B70F4E"/>
    <w:rsid w:val="00B72181"/>
    <w:rsid w:val="00B87A2F"/>
    <w:rsid w:val="00B91BD8"/>
    <w:rsid w:val="00B95FD9"/>
    <w:rsid w:val="00BA0AC0"/>
    <w:rsid w:val="00BA678D"/>
    <w:rsid w:val="00BB2D27"/>
    <w:rsid w:val="00BC1940"/>
    <w:rsid w:val="00BC3473"/>
    <w:rsid w:val="00BC7A7B"/>
    <w:rsid w:val="00BD30C4"/>
    <w:rsid w:val="00BE48BD"/>
    <w:rsid w:val="00BF582A"/>
    <w:rsid w:val="00C12D54"/>
    <w:rsid w:val="00C15A48"/>
    <w:rsid w:val="00C2359E"/>
    <w:rsid w:val="00C24B0E"/>
    <w:rsid w:val="00C32CEF"/>
    <w:rsid w:val="00C3706C"/>
    <w:rsid w:val="00C37C56"/>
    <w:rsid w:val="00C4127A"/>
    <w:rsid w:val="00C4189D"/>
    <w:rsid w:val="00C4652C"/>
    <w:rsid w:val="00C4653F"/>
    <w:rsid w:val="00C47614"/>
    <w:rsid w:val="00C57040"/>
    <w:rsid w:val="00C60B82"/>
    <w:rsid w:val="00C67DC3"/>
    <w:rsid w:val="00C91780"/>
    <w:rsid w:val="00C92D7D"/>
    <w:rsid w:val="00CA1186"/>
    <w:rsid w:val="00CA3139"/>
    <w:rsid w:val="00CA453B"/>
    <w:rsid w:val="00CC72D9"/>
    <w:rsid w:val="00CC7779"/>
    <w:rsid w:val="00CD3B98"/>
    <w:rsid w:val="00CE1F12"/>
    <w:rsid w:val="00CE2C98"/>
    <w:rsid w:val="00CE3580"/>
    <w:rsid w:val="00CE5F77"/>
    <w:rsid w:val="00D01FFE"/>
    <w:rsid w:val="00D0331A"/>
    <w:rsid w:val="00D0486B"/>
    <w:rsid w:val="00D11428"/>
    <w:rsid w:val="00D14E85"/>
    <w:rsid w:val="00D222E5"/>
    <w:rsid w:val="00D25ED2"/>
    <w:rsid w:val="00D27417"/>
    <w:rsid w:val="00D35B3F"/>
    <w:rsid w:val="00D45B61"/>
    <w:rsid w:val="00D53129"/>
    <w:rsid w:val="00D71A89"/>
    <w:rsid w:val="00D93473"/>
    <w:rsid w:val="00DB1213"/>
    <w:rsid w:val="00DB5935"/>
    <w:rsid w:val="00DC35D5"/>
    <w:rsid w:val="00DC4593"/>
    <w:rsid w:val="00DC67FF"/>
    <w:rsid w:val="00DD0B64"/>
    <w:rsid w:val="00DF0A11"/>
    <w:rsid w:val="00DF2044"/>
    <w:rsid w:val="00DF2878"/>
    <w:rsid w:val="00DF2DAC"/>
    <w:rsid w:val="00DF5E82"/>
    <w:rsid w:val="00E0060E"/>
    <w:rsid w:val="00E0486A"/>
    <w:rsid w:val="00E15157"/>
    <w:rsid w:val="00E15EC6"/>
    <w:rsid w:val="00E31CC9"/>
    <w:rsid w:val="00E3426F"/>
    <w:rsid w:val="00E417F2"/>
    <w:rsid w:val="00E44119"/>
    <w:rsid w:val="00E526AF"/>
    <w:rsid w:val="00E557A0"/>
    <w:rsid w:val="00E75848"/>
    <w:rsid w:val="00E91B7F"/>
    <w:rsid w:val="00E97205"/>
    <w:rsid w:val="00EA3F58"/>
    <w:rsid w:val="00EA4E85"/>
    <w:rsid w:val="00EA5A15"/>
    <w:rsid w:val="00EB5947"/>
    <w:rsid w:val="00EB5E20"/>
    <w:rsid w:val="00EB6C99"/>
    <w:rsid w:val="00EC28A2"/>
    <w:rsid w:val="00EC4B19"/>
    <w:rsid w:val="00ED4611"/>
    <w:rsid w:val="00F02737"/>
    <w:rsid w:val="00F103F4"/>
    <w:rsid w:val="00F10788"/>
    <w:rsid w:val="00F156B9"/>
    <w:rsid w:val="00F30DE6"/>
    <w:rsid w:val="00F31439"/>
    <w:rsid w:val="00F45382"/>
    <w:rsid w:val="00F50653"/>
    <w:rsid w:val="00F5735F"/>
    <w:rsid w:val="00F61F66"/>
    <w:rsid w:val="00F66DD5"/>
    <w:rsid w:val="00F72829"/>
    <w:rsid w:val="00F84358"/>
    <w:rsid w:val="00F84C97"/>
    <w:rsid w:val="00F9089E"/>
    <w:rsid w:val="00F9344F"/>
    <w:rsid w:val="00F9787D"/>
    <w:rsid w:val="00FB20EF"/>
    <w:rsid w:val="00FB7FDB"/>
    <w:rsid w:val="00FC13A6"/>
    <w:rsid w:val="00FC6079"/>
    <w:rsid w:val="00FD34D6"/>
    <w:rsid w:val="00FD570D"/>
    <w:rsid w:val="00FD5F7B"/>
    <w:rsid w:val="00FD7603"/>
    <w:rsid w:val="00FE3717"/>
    <w:rsid w:val="00FE691D"/>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B597"/>
  <w15:chartTrackingRefBased/>
  <w15:docId w15:val="{292F39BA-F556-4A55-B605-F7C04A81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026"/>
    <w:pPr>
      <w:ind w:left="720"/>
      <w:contextualSpacing/>
    </w:pPr>
  </w:style>
  <w:style w:type="character" w:styleId="Hyperlink">
    <w:name w:val="Hyperlink"/>
    <w:basedOn w:val="DefaultParagraphFont"/>
    <w:uiPriority w:val="99"/>
    <w:unhideWhenUsed/>
    <w:rsid w:val="00A7321C"/>
    <w:rPr>
      <w:color w:val="0563C1" w:themeColor="hyperlink"/>
      <w:u w:val="single"/>
    </w:rPr>
  </w:style>
  <w:style w:type="character" w:styleId="UnresolvedMention">
    <w:name w:val="Unresolved Mention"/>
    <w:basedOn w:val="DefaultParagraphFont"/>
    <w:uiPriority w:val="99"/>
    <w:semiHidden/>
    <w:unhideWhenUsed/>
    <w:rsid w:val="00A7321C"/>
    <w:rPr>
      <w:color w:val="605E5C"/>
      <w:shd w:val="clear" w:color="auto" w:fill="E1DFDD"/>
    </w:rPr>
  </w:style>
  <w:style w:type="table" w:styleId="TableGrid">
    <w:name w:val="Table Grid"/>
    <w:basedOn w:val="TableNormal"/>
    <w:uiPriority w:val="39"/>
    <w:rsid w:val="00D35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4119">
      <w:bodyDiv w:val="1"/>
      <w:marLeft w:val="0"/>
      <w:marRight w:val="0"/>
      <w:marTop w:val="0"/>
      <w:marBottom w:val="0"/>
      <w:divBdr>
        <w:top w:val="none" w:sz="0" w:space="0" w:color="auto"/>
        <w:left w:val="none" w:sz="0" w:space="0" w:color="auto"/>
        <w:bottom w:val="none" w:sz="0" w:space="0" w:color="auto"/>
        <w:right w:val="none" w:sz="0" w:space="0" w:color="auto"/>
      </w:divBdr>
    </w:div>
    <w:div w:id="332925066">
      <w:bodyDiv w:val="1"/>
      <w:marLeft w:val="0"/>
      <w:marRight w:val="0"/>
      <w:marTop w:val="0"/>
      <w:marBottom w:val="0"/>
      <w:divBdr>
        <w:top w:val="none" w:sz="0" w:space="0" w:color="auto"/>
        <w:left w:val="none" w:sz="0" w:space="0" w:color="auto"/>
        <w:bottom w:val="none" w:sz="0" w:space="0" w:color="auto"/>
        <w:right w:val="none" w:sz="0" w:space="0" w:color="auto"/>
      </w:divBdr>
    </w:div>
    <w:div w:id="528687673">
      <w:bodyDiv w:val="1"/>
      <w:marLeft w:val="0"/>
      <w:marRight w:val="0"/>
      <w:marTop w:val="0"/>
      <w:marBottom w:val="0"/>
      <w:divBdr>
        <w:top w:val="none" w:sz="0" w:space="0" w:color="auto"/>
        <w:left w:val="none" w:sz="0" w:space="0" w:color="auto"/>
        <w:bottom w:val="none" w:sz="0" w:space="0" w:color="auto"/>
        <w:right w:val="none" w:sz="0" w:space="0" w:color="auto"/>
      </w:divBdr>
    </w:div>
    <w:div w:id="740954279">
      <w:bodyDiv w:val="1"/>
      <w:marLeft w:val="0"/>
      <w:marRight w:val="0"/>
      <w:marTop w:val="0"/>
      <w:marBottom w:val="0"/>
      <w:divBdr>
        <w:top w:val="none" w:sz="0" w:space="0" w:color="auto"/>
        <w:left w:val="none" w:sz="0" w:space="0" w:color="auto"/>
        <w:bottom w:val="none" w:sz="0" w:space="0" w:color="auto"/>
        <w:right w:val="none" w:sz="0" w:space="0" w:color="auto"/>
      </w:divBdr>
    </w:div>
    <w:div w:id="1175223075">
      <w:bodyDiv w:val="1"/>
      <w:marLeft w:val="0"/>
      <w:marRight w:val="0"/>
      <w:marTop w:val="0"/>
      <w:marBottom w:val="0"/>
      <w:divBdr>
        <w:top w:val="none" w:sz="0" w:space="0" w:color="auto"/>
        <w:left w:val="none" w:sz="0" w:space="0" w:color="auto"/>
        <w:bottom w:val="none" w:sz="0" w:space="0" w:color="auto"/>
        <w:right w:val="none" w:sz="0" w:space="0" w:color="auto"/>
      </w:divBdr>
    </w:div>
    <w:div w:id="1237545204">
      <w:bodyDiv w:val="1"/>
      <w:marLeft w:val="0"/>
      <w:marRight w:val="0"/>
      <w:marTop w:val="0"/>
      <w:marBottom w:val="0"/>
      <w:divBdr>
        <w:top w:val="none" w:sz="0" w:space="0" w:color="auto"/>
        <w:left w:val="none" w:sz="0" w:space="0" w:color="auto"/>
        <w:bottom w:val="none" w:sz="0" w:space="0" w:color="auto"/>
        <w:right w:val="none" w:sz="0" w:space="0" w:color="auto"/>
      </w:divBdr>
    </w:div>
    <w:div w:id="1434519070">
      <w:bodyDiv w:val="1"/>
      <w:marLeft w:val="0"/>
      <w:marRight w:val="0"/>
      <w:marTop w:val="0"/>
      <w:marBottom w:val="0"/>
      <w:divBdr>
        <w:top w:val="none" w:sz="0" w:space="0" w:color="auto"/>
        <w:left w:val="none" w:sz="0" w:space="0" w:color="auto"/>
        <w:bottom w:val="none" w:sz="0" w:space="0" w:color="auto"/>
        <w:right w:val="none" w:sz="0" w:space="0" w:color="auto"/>
      </w:divBdr>
    </w:div>
    <w:div w:id="1453595005">
      <w:bodyDiv w:val="1"/>
      <w:marLeft w:val="0"/>
      <w:marRight w:val="0"/>
      <w:marTop w:val="0"/>
      <w:marBottom w:val="0"/>
      <w:divBdr>
        <w:top w:val="none" w:sz="0" w:space="0" w:color="auto"/>
        <w:left w:val="none" w:sz="0" w:space="0" w:color="auto"/>
        <w:bottom w:val="none" w:sz="0" w:space="0" w:color="auto"/>
        <w:right w:val="none" w:sz="0" w:space="0" w:color="auto"/>
      </w:divBdr>
    </w:div>
    <w:div w:id="165756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lFLCA.org"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imberly\Downloads\Ag_Employment_Annual_Average_c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Sheet1!$B$41</c:f>
              <c:strCache>
                <c:ptCount val="1"/>
                <c:pt idx="0">
                  <c:v>FLC employees</c:v>
                </c:pt>
              </c:strCache>
            </c:strRef>
          </c:tx>
          <c:spPr>
            <a:ln w="28575" cap="rnd">
              <a:solidFill>
                <a:schemeClr val="accent1"/>
              </a:solidFill>
              <a:round/>
            </a:ln>
            <a:effectLst/>
          </c:spPr>
          <c:marker>
            <c:symbol val="none"/>
          </c:marker>
          <c:dLbls>
            <c:dLbl>
              <c:idx val="0"/>
              <c:layout>
                <c:manualLayout>
                  <c:x val="-4.1350513004056309E-2"/>
                  <c:y val="-6.43838637817331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9CF-45A1-996E-7C5E08BDD70E}"/>
                </c:ext>
              </c:extLst>
            </c:dLbl>
            <c:dLbl>
              <c:idx val="1"/>
              <c:delete val="1"/>
              <c:extLst>
                <c:ext xmlns:c15="http://schemas.microsoft.com/office/drawing/2012/chart" uri="{CE6537A1-D6FC-4f65-9D91-7224C49458BB}"/>
                <c:ext xmlns:c16="http://schemas.microsoft.com/office/drawing/2014/chart" uri="{C3380CC4-5D6E-409C-BE32-E72D297353CC}">
                  <c16:uniqueId val="{00000000-F9CF-45A1-996E-7C5E08BDD70E}"/>
                </c:ext>
              </c:extLst>
            </c:dLbl>
            <c:dLbl>
              <c:idx val="2"/>
              <c:delete val="1"/>
              <c:extLst>
                <c:ext xmlns:c15="http://schemas.microsoft.com/office/drawing/2012/chart" uri="{CE6537A1-D6FC-4f65-9D91-7224C49458BB}"/>
                <c:ext xmlns:c16="http://schemas.microsoft.com/office/drawing/2014/chart" uri="{C3380CC4-5D6E-409C-BE32-E72D297353CC}">
                  <c16:uniqueId val="{00000001-F9CF-45A1-996E-7C5E08BDD70E}"/>
                </c:ext>
              </c:extLst>
            </c:dLbl>
            <c:dLbl>
              <c:idx val="3"/>
              <c:layout>
                <c:manualLayout>
                  <c:x val="-6.506592802381915E-2"/>
                  <c:y val="-6.9986104678091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9CF-45A1-996E-7C5E08BDD70E}"/>
                </c:ext>
              </c:extLst>
            </c:dLbl>
            <c:dLbl>
              <c:idx val="4"/>
              <c:delete val="1"/>
              <c:extLst>
                <c:ext xmlns:c15="http://schemas.microsoft.com/office/drawing/2012/chart" uri="{CE6537A1-D6FC-4f65-9D91-7224C49458BB}"/>
                <c:ext xmlns:c16="http://schemas.microsoft.com/office/drawing/2014/chart" uri="{C3380CC4-5D6E-409C-BE32-E72D297353CC}">
                  <c16:uniqueId val="{00000002-F9CF-45A1-996E-7C5E08BDD70E}"/>
                </c:ext>
              </c:extLst>
            </c:dLbl>
            <c:dLbl>
              <c:idx val="5"/>
              <c:layout>
                <c:manualLayout>
                  <c:x val="-4.9255651343977261E-2"/>
                  <c:y val="-5.87816228853746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9CF-45A1-996E-7C5E08BDD70E}"/>
                </c:ext>
              </c:extLst>
            </c:dLbl>
            <c:dLbl>
              <c:idx val="6"/>
              <c:delete val="1"/>
              <c:extLst>
                <c:ext xmlns:c15="http://schemas.microsoft.com/office/drawing/2012/chart" uri="{CE6537A1-D6FC-4f65-9D91-7224C49458BB}"/>
                <c:ext xmlns:c16="http://schemas.microsoft.com/office/drawing/2014/chart" uri="{C3380CC4-5D6E-409C-BE32-E72D297353CC}">
                  <c16:uniqueId val="{00000003-F9CF-45A1-996E-7C5E08BDD70E}"/>
                </c:ext>
              </c:extLst>
            </c:dLbl>
            <c:dLbl>
              <c:idx val="7"/>
              <c:delete val="1"/>
              <c:extLst>
                <c:ext xmlns:c15="http://schemas.microsoft.com/office/drawing/2012/chart" uri="{CE6537A1-D6FC-4f65-9D91-7224C49458BB}"/>
                <c:ext xmlns:c16="http://schemas.microsoft.com/office/drawing/2014/chart" uri="{C3380CC4-5D6E-409C-BE32-E72D297353CC}">
                  <c16:uniqueId val="{00000004-F9CF-45A1-996E-7C5E08BDD70E}"/>
                </c:ext>
              </c:extLst>
            </c:dLbl>
            <c:dLbl>
              <c:idx val="8"/>
              <c:delete val="1"/>
              <c:extLst>
                <c:ext xmlns:c15="http://schemas.microsoft.com/office/drawing/2012/chart" uri="{CE6537A1-D6FC-4f65-9D91-7224C49458BB}"/>
                <c:ext xmlns:c16="http://schemas.microsoft.com/office/drawing/2014/chart" uri="{C3380CC4-5D6E-409C-BE32-E72D297353CC}">
                  <c16:uniqueId val="{00000005-F9CF-45A1-996E-7C5E08BDD70E}"/>
                </c:ext>
              </c:extLst>
            </c:dLbl>
            <c:dLbl>
              <c:idx val="9"/>
              <c:delete val="1"/>
              <c:extLst>
                <c:ext xmlns:c15="http://schemas.microsoft.com/office/drawing/2012/chart" uri="{CE6537A1-D6FC-4f65-9D91-7224C49458BB}"/>
                <c:ext xmlns:c16="http://schemas.microsoft.com/office/drawing/2014/chart" uri="{C3380CC4-5D6E-409C-BE32-E72D297353CC}">
                  <c16:uniqueId val="{0000001B-F9CF-45A1-996E-7C5E08BDD70E}"/>
                </c:ext>
              </c:extLst>
            </c:dLbl>
            <c:dLbl>
              <c:idx val="10"/>
              <c:delete val="1"/>
              <c:extLst>
                <c:ext xmlns:c15="http://schemas.microsoft.com/office/drawing/2012/chart" uri="{CE6537A1-D6FC-4f65-9D91-7224C49458BB}"/>
                <c:ext xmlns:c16="http://schemas.microsoft.com/office/drawing/2014/chart" uri="{C3380CC4-5D6E-409C-BE32-E72D297353CC}">
                  <c16:uniqueId val="{00000006-F9CF-45A1-996E-7C5E08BDD70E}"/>
                </c:ext>
              </c:extLst>
            </c:dLbl>
            <c:dLbl>
              <c:idx val="12"/>
              <c:delete val="1"/>
              <c:extLst>
                <c:ext xmlns:c15="http://schemas.microsoft.com/office/drawing/2012/chart" uri="{CE6537A1-D6FC-4f65-9D91-7224C49458BB}"/>
                <c:ext xmlns:c16="http://schemas.microsoft.com/office/drawing/2014/chart" uri="{C3380CC4-5D6E-409C-BE32-E72D297353CC}">
                  <c16:uniqueId val="{00000007-F9CF-45A1-996E-7C5E08BDD70E}"/>
                </c:ext>
              </c:extLst>
            </c:dLbl>
            <c:dLbl>
              <c:idx val="13"/>
              <c:delete val="1"/>
              <c:extLst>
                <c:ext xmlns:c15="http://schemas.microsoft.com/office/drawing/2012/chart" uri="{CE6537A1-D6FC-4f65-9D91-7224C49458BB}"/>
                <c:ext xmlns:c16="http://schemas.microsoft.com/office/drawing/2014/chart" uri="{C3380CC4-5D6E-409C-BE32-E72D297353CC}">
                  <c16:uniqueId val="{00000008-F9CF-45A1-996E-7C5E08BDD70E}"/>
                </c:ext>
              </c:extLst>
            </c:dLbl>
            <c:dLbl>
              <c:idx val="14"/>
              <c:layout>
                <c:manualLayout>
                  <c:x val="-5.1890697457284245E-2"/>
                  <c:y val="-6.43838637817331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9CF-45A1-996E-7C5E08BDD70E}"/>
                </c:ext>
              </c:extLst>
            </c:dLbl>
            <c:dLbl>
              <c:idx val="15"/>
              <c:delete val="1"/>
              <c:extLst>
                <c:ext xmlns:c15="http://schemas.microsoft.com/office/drawing/2012/chart" uri="{CE6537A1-D6FC-4f65-9D91-7224C49458BB}"/>
                <c:ext xmlns:c16="http://schemas.microsoft.com/office/drawing/2014/chart" uri="{C3380CC4-5D6E-409C-BE32-E72D297353CC}">
                  <c16:uniqueId val="{00000009-F9CF-45A1-996E-7C5E08BDD70E}"/>
                </c:ext>
              </c:extLst>
            </c:dLbl>
            <c:dLbl>
              <c:idx val="16"/>
              <c:delete val="1"/>
              <c:extLst>
                <c:ext xmlns:c15="http://schemas.microsoft.com/office/drawing/2012/chart" uri="{CE6537A1-D6FC-4f65-9D91-7224C49458BB}"/>
                <c:ext xmlns:c16="http://schemas.microsoft.com/office/drawing/2014/chart" uri="{C3380CC4-5D6E-409C-BE32-E72D297353CC}">
                  <c16:uniqueId val="{0000000A-F9CF-45A1-996E-7C5E08BDD70E}"/>
                </c:ext>
              </c:extLst>
            </c:dLbl>
            <c:dLbl>
              <c:idx val="17"/>
              <c:delete val="1"/>
              <c:extLst>
                <c:ext xmlns:c15="http://schemas.microsoft.com/office/drawing/2012/chart" uri="{CE6537A1-D6FC-4f65-9D91-7224C49458BB}"/>
                <c:ext xmlns:c16="http://schemas.microsoft.com/office/drawing/2014/chart" uri="{C3380CC4-5D6E-409C-BE32-E72D297353CC}">
                  <c16:uniqueId val="{0000000B-F9CF-45A1-996E-7C5E08BDD70E}"/>
                </c:ext>
              </c:extLst>
            </c:dLbl>
            <c:dLbl>
              <c:idx val="18"/>
              <c:delete val="1"/>
              <c:extLst>
                <c:ext xmlns:c15="http://schemas.microsoft.com/office/drawing/2012/chart" uri="{CE6537A1-D6FC-4f65-9D91-7224C49458BB}"/>
                <c:ext xmlns:c16="http://schemas.microsoft.com/office/drawing/2014/chart" uri="{C3380CC4-5D6E-409C-BE32-E72D297353CC}">
                  <c16:uniqueId val="{0000001A-F9CF-45A1-996E-7C5E08BDD70E}"/>
                </c:ext>
              </c:extLst>
            </c:dLbl>
            <c:dLbl>
              <c:idx val="19"/>
              <c:delete val="1"/>
              <c:extLst>
                <c:ext xmlns:c15="http://schemas.microsoft.com/office/drawing/2012/chart" uri="{CE6537A1-D6FC-4f65-9D91-7224C49458BB}"/>
                <c:ext xmlns:c16="http://schemas.microsoft.com/office/drawing/2014/chart" uri="{C3380CC4-5D6E-409C-BE32-E72D297353CC}">
                  <c16:uniqueId val="{0000000C-F9CF-45A1-996E-7C5E08BDD70E}"/>
                </c:ext>
              </c:extLst>
            </c:dLbl>
            <c:dLbl>
              <c:idx val="21"/>
              <c:delete val="1"/>
              <c:extLst>
                <c:ext xmlns:c15="http://schemas.microsoft.com/office/drawing/2012/chart" uri="{CE6537A1-D6FC-4f65-9D91-7224C49458BB}"/>
                <c:ext xmlns:c16="http://schemas.microsoft.com/office/drawing/2014/chart" uri="{C3380CC4-5D6E-409C-BE32-E72D297353CC}">
                  <c16:uniqueId val="{0000000D-F9CF-45A1-996E-7C5E08BDD70E}"/>
                </c:ext>
              </c:extLst>
            </c:dLbl>
            <c:dLbl>
              <c:idx val="22"/>
              <c:delete val="1"/>
              <c:extLst>
                <c:ext xmlns:c15="http://schemas.microsoft.com/office/drawing/2012/chart" uri="{CE6537A1-D6FC-4f65-9D91-7224C49458BB}"/>
                <c:ext xmlns:c16="http://schemas.microsoft.com/office/drawing/2014/chart" uri="{C3380CC4-5D6E-409C-BE32-E72D297353CC}">
                  <c16:uniqueId val="{0000000E-F9CF-45A1-996E-7C5E08BDD70E}"/>
                </c:ext>
              </c:extLst>
            </c:dLbl>
            <c:dLbl>
              <c:idx val="24"/>
              <c:delete val="1"/>
              <c:extLst>
                <c:ext xmlns:c15="http://schemas.microsoft.com/office/drawing/2012/chart" uri="{CE6537A1-D6FC-4f65-9D91-7224C49458BB}"/>
                <c:ext xmlns:c16="http://schemas.microsoft.com/office/drawing/2014/chart" uri="{C3380CC4-5D6E-409C-BE32-E72D297353CC}">
                  <c16:uniqueId val="{0000000F-F9CF-45A1-996E-7C5E08BDD70E}"/>
                </c:ext>
              </c:extLst>
            </c:dLbl>
            <c:dLbl>
              <c:idx val="25"/>
              <c:delete val="1"/>
              <c:extLst>
                <c:ext xmlns:c15="http://schemas.microsoft.com/office/drawing/2012/chart" uri="{CE6537A1-D6FC-4f65-9D91-7224C49458BB}"/>
                <c:ext xmlns:c16="http://schemas.microsoft.com/office/drawing/2014/chart" uri="{C3380CC4-5D6E-409C-BE32-E72D297353CC}">
                  <c16:uniqueId val="{00000010-F9CF-45A1-996E-7C5E08BDD70E}"/>
                </c:ext>
              </c:extLst>
            </c:dLbl>
            <c:dLbl>
              <c:idx val="27"/>
              <c:delete val="1"/>
              <c:extLst>
                <c:ext xmlns:c15="http://schemas.microsoft.com/office/drawing/2012/chart" uri="{CE6537A1-D6FC-4f65-9D91-7224C49458BB}"/>
                <c:ext xmlns:c16="http://schemas.microsoft.com/office/drawing/2014/chart" uri="{C3380CC4-5D6E-409C-BE32-E72D297353CC}">
                  <c16:uniqueId val="{00000011-F9CF-45A1-996E-7C5E08BDD70E}"/>
                </c:ext>
              </c:extLst>
            </c:dLbl>
            <c:dLbl>
              <c:idx val="28"/>
              <c:delete val="1"/>
              <c:extLst>
                <c:ext xmlns:c15="http://schemas.microsoft.com/office/drawing/2012/chart" uri="{CE6537A1-D6FC-4f65-9D91-7224C49458BB}"/>
                <c:ext xmlns:c16="http://schemas.microsoft.com/office/drawing/2014/chart" uri="{C3380CC4-5D6E-409C-BE32-E72D297353CC}">
                  <c16:uniqueId val="{00000015-F9CF-45A1-996E-7C5E08BDD70E}"/>
                </c:ext>
              </c:extLst>
            </c:dLbl>
            <c:dLbl>
              <c:idx val="29"/>
              <c:delete val="1"/>
              <c:extLst>
                <c:ext xmlns:c15="http://schemas.microsoft.com/office/drawing/2012/chart" uri="{CE6537A1-D6FC-4f65-9D91-7224C49458BB}"/>
                <c:ext xmlns:c16="http://schemas.microsoft.com/office/drawing/2014/chart" uri="{C3380CC4-5D6E-409C-BE32-E72D297353CC}">
                  <c16:uniqueId val="{00000012-F9CF-45A1-996E-7C5E08BDD7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Sheet1!$C$42:$AH$42</c:f>
              <c:numCache>
                <c:formatCode>0</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formatCode="General">
                  <c:v>2003</c:v>
                </c:pt>
                <c:pt idx="14">
                  <c:v>2004</c:v>
                </c:pt>
                <c:pt idx="15" formatCode="General">
                  <c:v>2005</c:v>
                </c:pt>
                <c:pt idx="16">
                  <c:v>2006</c:v>
                </c:pt>
                <c:pt idx="17" formatCode="General">
                  <c:v>2007</c:v>
                </c:pt>
                <c:pt idx="18">
                  <c:v>2008</c:v>
                </c:pt>
                <c:pt idx="19" formatCode="General">
                  <c:v>2009</c:v>
                </c:pt>
                <c:pt idx="20">
                  <c:v>2010</c:v>
                </c:pt>
                <c:pt idx="21" formatCode="General">
                  <c:v>2011</c:v>
                </c:pt>
                <c:pt idx="22">
                  <c:v>2012</c:v>
                </c:pt>
                <c:pt idx="23" formatCode="General">
                  <c:v>2013</c:v>
                </c:pt>
                <c:pt idx="24">
                  <c:v>2014</c:v>
                </c:pt>
                <c:pt idx="25" formatCode="General">
                  <c:v>2015</c:v>
                </c:pt>
                <c:pt idx="26">
                  <c:v>2016</c:v>
                </c:pt>
                <c:pt idx="27" formatCode="General">
                  <c:v>2017</c:v>
                </c:pt>
                <c:pt idx="28">
                  <c:v>2018</c:v>
                </c:pt>
                <c:pt idx="29" formatCode="General">
                  <c:v>2019</c:v>
                </c:pt>
                <c:pt idx="30">
                  <c:v>2020</c:v>
                </c:pt>
                <c:pt idx="31" formatCode="General">
                  <c:v>2021</c:v>
                </c:pt>
              </c:numCache>
            </c:numRef>
          </c:cat>
          <c:val>
            <c:numRef>
              <c:f>Sheet1!$D$41:$AH$41</c:f>
              <c:numCache>
                <c:formatCode>0.0%</c:formatCode>
                <c:ptCount val="31"/>
                <c:pt idx="0">
                  <c:v>0.21603881278538814</c:v>
                </c:pt>
                <c:pt idx="1">
                  <c:v>0.21986222732491389</c:v>
                </c:pt>
                <c:pt idx="2">
                  <c:v>0.2425258452081587</c:v>
                </c:pt>
                <c:pt idx="3">
                  <c:v>0.26133333333333331</c:v>
                </c:pt>
                <c:pt idx="4">
                  <c:v>0.28283093053735253</c:v>
                </c:pt>
                <c:pt idx="5">
                  <c:v>0.30746489283074652</c:v>
                </c:pt>
                <c:pt idx="6">
                  <c:v>0.29955621301775148</c:v>
                </c:pt>
                <c:pt idx="7">
                  <c:v>0.30179282868525897</c:v>
                </c:pt>
                <c:pt idx="8">
                  <c:v>0.29279959718026183</c:v>
                </c:pt>
                <c:pt idx="9">
                  <c:v>0.29220779220779219</c:v>
                </c:pt>
                <c:pt idx="10">
                  <c:v>0.27822364901016589</c:v>
                </c:pt>
                <c:pt idx="11">
                  <c:v>0.27721179624664877</c:v>
                </c:pt>
                <c:pt idx="12">
                  <c:v>0.28396377197655831</c:v>
                </c:pt>
                <c:pt idx="13">
                  <c:v>0.27934461455815202</c:v>
                </c:pt>
                <c:pt idx="14">
                  <c:v>0.30698043363299843</c:v>
                </c:pt>
                <c:pt idx="15">
                  <c:v>0.30529677934522226</c:v>
                </c:pt>
                <c:pt idx="16">
                  <c:v>0.30714846818538882</c:v>
                </c:pt>
                <c:pt idx="17">
                  <c:v>0.31015905592611598</c:v>
                </c:pt>
                <c:pt idx="18">
                  <c:v>0.30091348737238044</c:v>
                </c:pt>
                <c:pt idx="19">
                  <c:v>0.31789473684210529</c:v>
                </c:pt>
                <c:pt idx="20">
                  <c:v>0.32099404607817761</c:v>
                </c:pt>
                <c:pt idx="21">
                  <c:v>0.32524026302478504</c:v>
                </c:pt>
                <c:pt idx="22">
                  <c:v>0.33635472807447331</c:v>
                </c:pt>
                <c:pt idx="23">
                  <c:v>0.34241908006814309</c:v>
                </c:pt>
                <c:pt idx="24">
                  <c:v>0.33843944471038773</c:v>
                </c:pt>
                <c:pt idx="25">
                  <c:v>0.34148658275943955</c:v>
                </c:pt>
                <c:pt idx="26">
                  <c:v>0.34377241214439397</c:v>
                </c:pt>
                <c:pt idx="27">
                  <c:v>0.35278704144830869</c:v>
                </c:pt>
                <c:pt idx="28">
                  <c:v>0.35872411330635562</c:v>
                </c:pt>
                <c:pt idx="29">
                  <c:v>0.35246104377937176</c:v>
                </c:pt>
                <c:pt idx="30">
                  <c:v>0.36199999999999999</c:v>
                </c:pt>
              </c:numCache>
              <c:extLst/>
            </c:numRef>
          </c:val>
          <c:smooth val="0"/>
          <c:extLst>
            <c:ext xmlns:c16="http://schemas.microsoft.com/office/drawing/2014/chart" uri="{C3380CC4-5D6E-409C-BE32-E72D297353CC}">
              <c16:uniqueId val="{00000013-F9CF-45A1-996E-7C5E08BDD70E}"/>
            </c:ext>
          </c:extLst>
        </c:ser>
        <c:dLbls>
          <c:showLegendKey val="0"/>
          <c:showVal val="0"/>
          <c:showCatName val="0"/>
          <c:showSerName val="0"/>
          <c:showPercent val="0"/>
          <c:showBubbleSize val="0"/>
        </c:dLbls>
        <c:smooth val="0"/>
        <c:axId val="311886016"/>
        <c:axId val="311909312"/>
        <c:extLst>
          <c:ext xmlns:c15="http://schemas.microsoft.com/office/drawing/2012/chart" uri="{02D57815-91ED-43cb-92C2-25804820EDAC}">
            <c15:filteredLineSeries>
              <c15:ser>
                <c:idx val="1"/>
                <c:order val="1"/>
                <c:tx>
                  <c:strRef>
                    <c:extLst>
                      <c:ext uri="{02D57815-91ED-43cb-92C2-25804820EDAC}">
                        <c15:formulaRef>
                          <c15:sqref>Sheet1!$B$42</c15:sqref>
                        </c15:formulaRef>
                      </c:ext>
                    </c:extLst>
                    <c:strCache>
                      <c:ptCount val="1"/>
                      <c:pt idx="0">
                        <c:v>year</c:v>
                      </c:pt>
                    </c:strCache>
                  </c:strRef>
                </c:tx>
                <c:spPr>
                  <a:ln w="28575" cap="rnd">
                    <a:solidFill>
                      <a:schemeClr val="accent2"/>
                    </a:solidFill>
                    <a:round/>
                  </a:ln>
                  <a:effectLst/>
                </c:spPr>
                <c:marker>
                  <c:symbol val="none"/>
                </c:marker>
                <c:cat>
                  <c:numRef>
                    <c:extLst>
                      <c:ext uri="{02D57815-91ED-43cb-92C2-25804820EDAC}">
                        <c15:formulaRef>
                          <c15:sqref>Sheet1!$C$42:$AH$42</c15:sqref>
                        </c15:formulaRef>
                      </c:ext>
                    </c:extLst>
                    <c:numCache>
                      <c:formatCode>0</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formatCode="General">
                        <c:v>2003</c:v>
                      </c:pt>
                      <c:pt idx="14">
                        <c:v>2004</c:v>
                      </c:pt>
                      <c:pt idx="15" formatCode="General">
                        <c:v>2005</c:v>
                      </c:pt>
                      <c:pt idx="16">
                        <c:v>2006</c:v>
                      </c:pt>
                      <c:pt idx="17" formatCode="General">
                        <c:v>2007</c:v>
                      </c:pt>
                      <c:pt idx="18">
                        <c:v>2008</c:v>
                      </c:pt>
                      <c:pt idx="19" formatCode="General">
                        <c:v>2009</c:v>
                      </c:pt>
                      <c:pt idx="20">
                        <c:v>2010</c:v>
                      </c:pt>
                      <c:pt idx="21" formatCode="General">
                        <c:v>2011</c:v>
                      </c:pt>
                      <c:pt idx="22">
                        <c:v>2012</c:v>
                      </c:pt>
                      <c:pt idx="23" formatCode="General">
                        <c:v>2013</c:v>
                      </c:pt>
                      <c:pt idx="24">
                        <c:v>2014</c:v>
                      </c:pt>
                      <c:pt idx="25" formatCode="General">
                        <c:v>2015</c:v>
                      </c:pt>
                      <c:pt idx="26">
                        <c:v>2016</c:v>
                      </c:pt>
                      <c:pt idx="27" formatCode="General">
                        <c:v>2017</c:v>
                      </c:pt>
                      <c:pt idx="28">
                        <c:v>2018</c:v>
                      </c:pt>
                      <c:pt idx="29" formatCode="General">
                        <c:v>2019</c:v>
                      </c:pt>
                      <c:pt idx="30">
                        <c:v>2020</c:v>
                      </c:pt>
                      <c:pt idx="31" formatCode="General">
                        <c:v>2021</c:v>
                      </c:pt>
                    </c:numCache>
                  </c:numRef>
                </c:cat>
                <c:val>
                  <c:numRef>
                    <c:extLst>
                      <c:ext uri="{02D57815-91ED-43cb-92C2-25804820EDAC}">
                        <c15:formulaRef>
                          <c15:sqref>Sheet1!$D$42:$AH$42</c15:sqref>
                        </c15:formulaRef>
                      </c:ext>
                    </c:extLst>
                    <c:numCache>
                      <c:formatCode>0</c:formatCode>
                      <c:ptCount val="31"/>
                      <c:pt idx="0">
                        <c:v>1991</c:v>
                      </c:pt>
                      <c:pt idx="1">
                        <c:v>1992</c:v>
                      </c:pt>
                      <c:pt idx="2">
                        <c:v>1993</c:v>
                      </c:pt>
                      <c:pt idx="3">
                        <c:v>1994</c:v>
                      </c:pt>
                      <c:pt idx="4">
                        <c:v>1995</c:v>
                      </c:pt>
                      <c:pt idx="5">
                        <c:v>1996</c:v>
                      </c:pt>
                      <c:pt idx="6">
                        <c:v>1997</c:v>
                      </c:pt>
                      <c:pt idx="7">
                        <c:v>1998</c:v>
                      </c:pt>
                      <c:pt idx="8">
                        <c:v>1999</c:v>
                      </c:pt>
                      <c:pt idx="9">
                        <c:v>2000</c:v>
                      </c:pt>
                      <c:pt idx="10">
                        <c:v>2001</c:v>
                      </c:pt>
                      <c:pt idx="11">
                        <c:v>2002</c:v>
                      </c:pt>
                      <c:pt idx="12" formatCode="General">
                        <c:v>2003</c:v>
                      </c:pt>
                      <c:pt idx="13">
                        <c:v>2004</c:v>
                      </c:pt>
                      <c:pt idx="14" formatCode="General">
                        <c:v>2005</c:v>
                      </c:pt>
                      <c:pt idx="15">
                        <c:v>2006</c:v>
                      </c:pt>
                      <c:pt idx="16" formatCode="General">
                        <c:v>2007</c:v>
                      </c:pt>
                      <c:pt idx="17">
                        <c:v>2008</c:v>
                      </c:pt>
                      <c:pt idx="18" formatCode="General">
                        <c:v>2009</c:v>
                      </c:pt>
                      <c:pt idx="19">
                        <c:v>2010</c:v>
                      </c:pt>
                      <c:pt idx="20" formatCode="General">
                        <c:v>2011</c:v>
                      </c:pt>
                      <c:pt idx="21">
                        <c:v>2012</c:v>
                      </c:pt>
                      <c:pt idx="22" formatCode="General">
                        <c:v>2013</c:v>
                      </c:pt>
                      <c:pt idx="23">
                        <c:v>2014</c:v>
                      </c:pt>
                      <c:pt idx="24" formatCode="General">
                        <c:v>2015</c:v>
                      </c:pt>
                      <c:pt idx="25">
                        <c:v>2016</c:v>
                      </c:pt>
                      <c:pt idx="26" formatCode="General">
                        <c:v>2017</c:v>
                      </c:pt>
                      <c:pt idx="27">
                        <c:v>2018</c:v>
                      </c:pt>
                      <c:pt idx="28" formatCode="General">
                        <c:v>2019</c:v>
                      </c:pt>
                      <c:pt idx="29">
                        <c:v>2020</c:v>
                      </c:pt>
                      <c:pt idx="30" formatCode="General">
                        <c:v>2021</c:v>
                      </c:pt>
                    </c:numCache>
                  </c:numRef>
                </c:val>
                <c:smooth val="0"/>
                <c:extLst>
                  <c:ext xmlns:c16="http://schemas.microsoft.com/office/drawing/2014/chart" uri="{C3380CC4-5D6E-409C-BE32-E72D297353CC}">
                    <c16:uniqueId val="{00000014-F9CF-45A1-996E-7C5E08BDD70E}"/>
                  </c:ext>
                </c:extLst>
              </c15:ser>
            </c15:filteredLineSeries>
          </c:ext>
        </c:extLst>
      </c:lineChart>
      <c:catAx>
        <c:axId val="31188601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311909312"/>
        <c:crosses val="autoZero"/>
        <c:auto val="1"/>
        <c:lblAlgn val="ctr"/>
        <c:lblOffset val="100"/>
        <c:noMultiLvlLbl val="0"/>
      </c:catAx>
      <c:valAx>
        <c:axId val="311909312"/>
        <c:scaling>
          <c:orientation val="minMax"/>
          <c:max val="0.4"/>
          <c:min val="0.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886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Bocanegra</dc:creator>
  <cp:keywords/>
  <dc:description/>
  <cp:lastModifiedBy>Kimberly Clark</cp:lastModifiedBy>
  <cp:revision>7</cp:revision>
  <cp:lastPrinted>2022-07-16T02:25:00Z</cp:lastPrinted>
  <dcterms:created xsi:type="dcterms:W3CDTF">2022-09-29T22:20:00Z</dcterms:created>
  <dcterms:modified xsi:type="dcterms:W3CDTF">2022-10-18T22:59:00Z</dcterms:modified>
</cp:coreProperties>
</file>