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3718" w14:textId="367D9B6A" w:rsidR="00ED7433" w:rsidRPr="00ED7433" w:rsidRDefault="00ED7433" w:rsidP="00964AD2">
      <w:pPr>
        <w:spacing w:after="0"/>
        <w:jc w:val="center"/>
        <w:rPr>
          <w:b/>
          <w:bCs/>
          <w:color w:val="29588C"/>
          <w:sz w:val="16"/>
          <w:szCs w:val="16"/>
        </w:rPr>
      </w:pPr>
      <w:r w:rsidRPr="00B34B18">
        <w:rPr>
          <w:rFonts w:ascii="Verdana" w:hAnsi="Verdana"/>
          <w:b/>
          <w:bCs/>
          <w:noProof/>
          <w:sz w:val="72"/>
          <w:szCs w:val="72"/>
        </w:rPr>
        <w:drawing>
          <wp:anchor distT="0" distB="0" distL="114300" distR="114300" simplePos="0" relativeHeight="251663360" behindDoc="1" locked="0" layoutInCell="1" allowOverlap="1" wp14:anchorId="4D866827" wp14:editId="3D003020">
            <wp:simplePos x="0" y="0"/>
            <wp:positionH relativeFrom="margin">
              <wp:posOffset>-219075</wp:posOffset>
            </wp:positionH>
            <wp:positionV relativeFrom="paragraph">
              <wp:posOffset>140970</wp:posOffset>
            </wp:positionV>
            <wp:extent cx="2209800" cy="1317625"/>
            <wp:effectExtent l="0" t="0" r="0" b="0"/>
            <wp:wrapTight wrapText="bothSides">
              <wp:wrapPolygon edited="0">
                <wp:start x="0" y="0"/>
                <wp:lineTo x="0" y="21236"/>
                <wp:lineTo x="21414" y="21236"/>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9800" cy="1317625"/>
                    </a:xfrm>
                    <a:prstGeom prst="rect">
                      <a:avLst/>
                    </a:prstGeom>
                  </pic:spPr>
                </pic:pic>
              </a:graphicData>
            </a:graphic>
            <wp14:sizeRelH relativeFrom="margin">
              <wp14:pctWidth>0</wp14:pctWidth>
            </wp14:sizeRelH>
            <wp14:sizeRelV relativeFrom="margin">
              <wp14:pctHeight>0</wp14:pctHeight>
            </wp14:sizeRelV>
          </wp:anchor>
        </w:drawing>
      </w:r>
      <w:r>
        <w:rPr>
          <w:b/>
          <w:bCs/>
          <w:color w:val="29588C"/>
          <w:sz w:val="16"/>
          <w:szCs w:val="16"/>
        </w:rPr>
        <w:br/>
      </w:r>
    </w:p>
    <w:p w14:paraId="366C0ADF" w14:textId="0BBFFD57" w:rsidR="00BE4E2D" w:rsidRPr="00D038B1" w:rsidRDefault="00BE4E2D" w:rsidP="00964AD2">
      <w:pPr>
        <w:spacing w:after="0"/>
        <w:jc w:val="center"/>
        <w:rPr>
          <w:b/>
          <w:bCs/>
          <w:i/>
          <w:iCs/>
        </w:rPr>
      </w:pPr>
      <w:r w:rsidRPr="00B34B18">
        <w:rPr>
          <w:b/>
          <w:bCs/>
          <w:color w:val="29588C"/>
          <w:sz w:val="72"/>
          <w:szCs w:val="72"/>
        </w:rPr>
        <w:t>Regulatory Dispatch</w:t>
      </w:r>
      <w:r>
        <w:rPr>
          <w:b/>
          <w:bCs/>
          <w:color w:val="29588C"/>
          <w:sz w:val="72"/>
          <w:szCs w:val="72"/>
        </w:rPr>
        <w:br/>
      </w:r>
      <w:r w:rsidR="00ED7433">
        <w:rPr>
          <w:b/>
          <w:bCs/>
          <w:i/>
          <w:iCs/>
        </w:rPr>
        <w:br/>
      </w:r>
      <w:r w:rsidRPr="00D038B1">
        <w:rPr>
          <w:b/>
          <w:bCs/>
          <w:i/>
          <w:iCs/>
        </w:rPr>
        <w:t xml:space="preserve">Timely news and resources community bankers can use </w:t>
      </w:r>
    </w:p>
    <w:p w14:paraId="69E9E86C" w14:textId="77777777" w:rsidR="00BE4E2D" w:rsidRDefault="00BE4E2D" w:rsidP="00BE4E2D">
      <w:pPr>
        <w:jc w:val="center"/>
        <w:rPr>
          <w:b/>
          <w:bCs/>
          <w:i/>
          <w:iCs/>
        </w:rPr>
      </w:pPr>
      <w:r w:rsidRPr="00D038B1">
        <w:rPr>
          <w:b/>
          <w:bCs/>
          <w:i/>
          <w:iCs/>
        </w:rPr>
        <w:t>to better stay on top of a rapidly changing world.</w:t>
      </w:r>
    </w:p>
    <w:p w14:paraId="79F8AC7B" w14:textId="386F01A3" w:rsidR="00ED7433" w:rsidRDefault="00ED7433" w:rsidP="00BE4E2D">
      <w:pPr>
        <w:rPr>
          <w:b/>
          <w:bCs/>
          <w:color w:val="29588C"/>
          <w:sz w:val="28"/>
          <w:szCs w:val="28"/>
        </w:rPr>
      </w:pPr>
    </w:p>
    <w:p w14:paraId="1918E2D1" w14:textId="46786D71" w:rsidR="00BE4E2D" w:rsidRDefault="008F2B4D" w:rsidP="00F57E2C">
      <w:pPr>
        <w:spacing w:line="360" w:lineRule="auto"/>
        <w:rPr>
          <w:b/>
          <w:bCs/>
          <w:color w:val="29588C"/>
          <w:sz w:val="28"/>
          <w:szCs w:val="28"/>
        </w:rPr>
      </w:pPr>
      <w:r>
        <w:rPr>
          <w:b/>
          <w:bCs/>
          <w:color w:val="29588C"/>
          <w:sz w:val="28"/>
          <w:szCs w:val="28"/>
        </w:rPr>
        <w:t>December 11</w:t>
      </w:r>
      <w:r w:rsidR="003309D5">
        <w:rPr>
          <w:b/>
          <w:bCs/>
          <w:color w:val="29588C"/>
          <w:sz w:val="28"/>
          <w:szCs w:val="28"/>
        </w:rPr>
        <w:t>, 202</w:t>
      </w:r>
      <w:r w:rsidR="0033678A">
        <w:rPr>
          <w:b/>
          <w:bCs/>
          <w:color w:val="29588C"/>
          <w:sz w:val="28"/>
          <w:szCs w:val="28"/>
        </w:rPr>
        <w:t>5</w:t>
      </w:r>
    </w:p>
    <w:p w14:paraId="67ABD9CB" w14:textId="77777777" w:rsidR="00286BD0" w:rsidRDefault="00286BD0" w:rsidP="00286BD0">
      <w:pPr>
        <w:spacing w:after="0" w:line="240" w:lineRule="auto"/>
        <w:rPr>
          <w:rFonts w:ascii="Arial" w:eastAsia="Times New Roman" w:hAnsi="Arial" w:cs="Arial"/>
          <w:b/>
          <w:bCs/>
          <w:color w:val="003256"/>
          <w:kern w:val="36"/>
          <w:sz w:val="28"/>
          <w:szCs w:val="28"/>
        </w:rPr>
      </w:pPr>
      <w:bookmarkStart w:id="0" w:name="_Hlk80258260"/>
      <w:bookmarkStart w:id="1" w:name="_Hlk83204901"/>
      <w:bookmarkStart w:id="2" w:name="_Hlk79564040"/>
      <w:bookmarkStart w:id="3" w:name="_Hlk81988823"/>
      <w:bookmarkStart w:id="4" w:name="_Hlk83806435"/>
      <w:bookmarkStart w:id="5" w:name="_Hlk84405847"/>
      <w:bookmarkStart w:id="6" w:name="_Hlk85004969"/>
      <w:bookmarkStart w:id="7" w:name="_Hlk86221722"/>
      <w:bookmarkStart w:id="8" w:name="_Hlk87422987"/>
      <w:bookmarkStart w:id="9" w:name="_Hlk118437976"/>
      <w:bookmarkStart w:id="10" w:name="_Hlk116453118"/>
      <w:bookmarkStart w:id="11" w:name="_Hlk90457423"/>
      <w:r w:rsidRPr="005618C4">
        <w:rPr>
          <w:rFonts w:ascii="Arial" w:eastAsia="Times New Roman" w:hAnsi="Arial" w:cs="Arial"/>
          <w:b/>
          <w:bCs/>
          <w:color w:val="003256"/>
          <w:kern w:val="36"/>
          <w:sz w:val="28"/>
          <w:szCs w:val="28"/>
        </w:rPr>
        <w:t xml:space="preserve">Federal Reserve Board </w:t>
      </w:r>
      <w:hyperlink r:id="rId9" w:history="1">
        <w:r w:rsidRPr="005618C4">
          <w:rPr>
            <w:rStyle w:val="Hyperlink"/>
            <w:rFonts w:ascii="Arial" w:eastAsia="Times New Roman" w:hAnsi="Arial" w:cs="Arial"/>
            <w:b/>
            <w:bCs/>
            <w:kern w:val="36"/>
            <w:sz w:val="28"/>
            <w:szCs w:val="28"/>
          </w:rPr>
          <w:t>Announces Pricing,</w:t>
        </w:r>
      </w:hyperlink>
      <w:r w:rsidRPr="005618C4">
        <w:rPr>
          <w:rFonts w:ascii="Arial" w:eastAsia="Times New Roman" w:hAnsi="Arial" w:cs="Arial"/>
          <w:b/>
          <w:bCs/>
          <w:color w:val="003256"/>
          <w:kern w:val="36"/>
          <w:sz w:val="28"/>
          <w:szCs w:val="28"/>
        </w:rPr>
        <w:t xml:space="preserve"> Effective January 1, 2026, For Payment Services The Federal Reserve Banks Provide To Banks And Credit Unions</w:t>
      </w:r>
    </w:p>
    <w:p w14:paraId="46CF2287" w14:textId="77777777" w:rsidR="00286BD0" w:rsidRPr="00A15741" w:rsidRDefault="00286BD0" w:rsidP="00286BD0">
      <w:pPr>
        <w:spacing w:after="0" w:line="240" w:lineRule="auto"/>
        <w:rPr>
          <w:rFonts w:ascii="Arial" w:eastAsia="Times New Roman" w:hAnsi="Arial" w:cs="Arial"/>
          <w:b/>
          <w:bCs/>
          <w:color w:val="003256"/>
          <w:kern w:val="36"/>
          <w:sz w:val="28"/>
          <w:szCs w:val="28"/>
        </w:rPr>
      </w:pPr>
    </w:p>
    <w:p w14:paraId="136C7075" w14:textId="77777777" w:rsidR="00286BD0" w:rsidRPr="005618C4" w:rsidRDefault="00286BD0" w:rsidP="00286BD0">
      <w:pPr>
        <w:spacing w:after="0" w:line="240" w:lineRule="auto"/>
        <w:rPr>
          <w:rFonts w:eastAsia="Times New Roman" w:cstheme="minorHAnsi"/>
          <w:color w:val="1B1B1B"/>
          <w:sz w:val="24"/>
          <w:szCs w:val="24"/>
        </w:rPr>
      </w:pPr>
      <w:bookmarkStart w:id="12" w:name="_Hlk179959793"/>
      <w:r w:rsidRPr="005618C4">
        <w:rPr>
          <w:rFonts w:eastAsia="Times New Roman" w:cstheme="minorHAnsi"/>
          <w:color w:val="1B1B1B"/>
          <w:sz w:val="24"/>
          <w:szCs w:val="24"/>
        </w:rPr>
        <w:t>The Federal Reserve Board on Thursday announced pricing, effective January 1, 2026, for payment services the Federal Reserve Banks provide to banks and credit unions, such as the clearing of checks, automated clearing house (ACH) transactions, instant payments, and wholesale payment and settlement services.</w:t>
      </w:r>
    </w:p>
    <w:p w14:paraId="4223030F" w14:textId="77777777" w:rsidR="00286BD0" w:rsidRPr="005618C4" w:rsidRDefault="00286BD0" w:rsidP="00286BD0">
      <w:pPr>
        <w:spacing w:after="0" w:line="240" w:lineRule="auto"/>
        <w:rPr>
          <w:rFonts w:eastAsia="Times New Roman" w:cstheme="minorHAnsi"/>
          <w:color w:val="1B1B1B"/>
          <w:sz w:val="24"/>
          <w:szCs w:val="24"/>
        </w:rPr>
      </w:pPr>
    </w:p>
    <w:p w14:paraId="54392606" w14:textId="77777777" w:rsidR="00286BD0" w:rsidRPr="005618C4" w:rsidRDefault="00286BD0" w:rsidP="00286BD0">
      <w:pPr>
        <w:spacing w:after="0" w:line="240" w:lineRule="auto"/>
        <w:rPr>
          <w:rFonts w:eastAsia="Times New Roman" w:cstheme="minorHAnsi"/>
          <w:color w:val="1B1B1B"/>
          <w:sz w:val="24"/>
          <w:szCs w:val="24"/>
        </w:rPr>
      </w:pPr>
      <w:r w:rsidRPr="005618C4">
        <w:rPr>
          <w:rFonts w:eastAsia="Times New Roman" w:cstheme="minorHAnsi"/>
          <w:color w:val="1B1B1B"/>
          <w:sz w:val="24"/>
          <w:szCs w:val="24"/>
        </w:rPr>
        <w:t>By law, the Federal Reserve must establish fees to recover the costs, including imputed costs, of providing payment services over the long run. The Federal Reserve expects to recover 108 percent of actual and imputed expenses in 2026, including the return on equity that would have been earned if a private-sector firm provided the services. Overall, price changes for 2026 will result in an estimated 0.9 percent average price increase for established, mature services.</w:t>
      </w:r>
    </w:p>
    <w:p w14:paraId="2F748A46" w14:textId="77777777" w:rsidR="00286BD0" w:rsidRPr="005618C4" w:rsidRDefault="00286BD0" w:rsidP="00286BD0">
      <w:pPr>
        <w:spacing w:after="0" w:line="240" w:lineRule="auto"/>
        <w:rPr>
          <w:rFonts w:eastAsia="Times New Roman" w:cstheme="minorHAnsi"/>
          <w:color w:val="1B1B1B"/>
          <w:sz w:val="24"/>
          <w:szCs w:val="24"/>
        </w:rPr>
      </w:pPr>
    </w:p>
    <w:p w14:paraId="24E96DF5" w14:textId="77777777" w:rsidR="00286BD0" w:rsidRDefault="00286BD0" w:rsidP="00286BD0">
      <w:pPr>
        <w:spacing w:after="0" w:line="240" w:lineRule="auto"/>
        <w:rPr>
          <w:rFonts w:eastAsia="Times New Roman" w:cstheme="minorHAnsi"/>
          <w:color w:val="1B1B1B"/>
          <w:sz w:val="24"/>
          <w:szCs w:val="24"/>
        </w:rPr>
      </w:pPr>
      <w:r w:rsidRPr="005618C4">
        <w:rPr>
          <w:rFonts w:eastAsia="Times New Roman" w:cstheme="minorHAnsi"/>
          <w:color w:val="1B1B1B"/>
          <w:sz w:val="24"/>
          <w:szCs w:val="24"/>
        </w:rPr>
        <w:t>The entire 2026 fee schedule is published on FRBservices.org®. Additional information on the Federal Reserve's payments services, including service usage statistics, is available on the Board's website.</w:t>
      </w:r>
    </w:p>
    <w:p w14:paraId="2A2C1145" w14:textId="77777777" w:rsidR="00286BD0" w:rsidRDefault="00286BD0" w:rsidP="00286BD0">
      <w:pPr>
        <w:spacing w:after="0" w:line="240" w:lineRule="auto"/>
        <w:rPr>
          <w:rFonts w:eastAsia="Times New Roman" w:cstheme="minorHAnsi"/>
          <w:color w:val="1B1B1B"/>
          <w:sz w:val="24"/>
          <w:szCs w:val="24"/>
        </w:rPr>
      </w:pPr>
    </w:p>
    <w:p w14:paraId="779F3F8E" w14:textId="77777777" w:rsidR="00286BD0" w:rsidRDefault="00286BD0" w:rsidP="00286BD0">
      <w:pPr>
        <w:spacing w:after="0" w:line="240" w:lineRule="auto"/>
        <w:rPr>
          <w:rFonts w:cstheme="minorHAnsi"/>
          <w:b/>
          <w:bCs/>
          <w:i/>
          <w:iCs/>
          <w:color w:val="002060"/>
          <w:sz w:val="24"/>
          <w:szCs w:val="24"/>
        </w:rPr>
      </w:pPr>
      <w:r w:rsidRPr="00E43DA8">
        <w:rPr>
          <w:rFonts w:cstheme="minorHAnsi"/>
          <w:b/>
          <w:bCs/>
          <w:i/>
          <w:iCs/>
          <w:color w:val="002060"/>
          <w:sz w:val="24"/>
          <w:szCs w:val="24"/>
        </w:rPr>
        <w:t>Comment:</w:t>
      </w:r>
      <w:r>
        <w:rPr>
          <w:rFonts w:cstheme="minorHAnsi"/>
          <w:b/>
          <w:bCs/>
          <w:i/>
          <w:iCs/>
          <w:color w:val="002060"/>
          <w:sz w:val="24"/>
          <w:szCs w:val="24"/>
        </w:rPr>
        <w:t xml:space="preserve"> </w:t>
      </w:r>
      <w:bookmarkStart w:id="13" w:name="_Hlk179958958"/>
      <w:bookmarkStart w:id="14" w:name="_Hlk191449995"/>
      <w:bookmarkStart w:id="15" w:name="_Hlk201125822"/>
      <w:bookmarkStart w:id="16" w:name="_Hlk207174264"/>
      <w:bookmarkStart w:id="17" w:name="_Hlk209584814"/>
      <w:bookmarkStart w:id="18" w:name="_Hlk210199744"/>
      <w:bookmarkStart w:id="19" w:name="_Hlk91505373"/>
      <w:bookmarkEnd w:id="0"/>
      <w:bookmarkEnd w:id="1"/>
      <w:bookmarkEnd w:id="2"/>
      <w:bookmarkEnd w:id="3"/>
      <w:bookmarkEnd w:id="4"/>
      <w:bookmarkEnd w:id="5"/>
      <w:bookmarkEnd w:id="6"/>
      <w:bookmarkEnd w:id="7"/>
      <w:bookmarkEnd w:id="8"/>
      <w:bookmarkEnd w:id="9"/>
      <w:bookmarkEnd w:id="10"/>
      <w:bookmarkEnd w:id="11"/>
      <w:r>
        <w:rPr>
          <w:rFonts w:cstheme="minorHAnsi"/>
          <w:b/>
          <w:bCs/>
          <w:i/>
          <w:iCs/>
          <w:color w:val="002060"/>
          <w:sz w:val="24"/>
          <w:szCs w:val="24"/>
        </w:rPr>
        <w:t xml:space="preserve">The Fed is required to cover ‘actual and imputed expenses and </w:t>
      </w:r>
      <w:r w:rsidRPr="00E65244">
        <w:rPr>
          <w:rFonts w:cstheme="minorHAnsi"/>
          <w:b/>
          <w:bCs/>
          <w:i/>
          <w:iCs/>
          <w:color w:val="002060"/>
          <w:sz w:val="24"/>
          <w:szCs w:val="24"/>
        </w:rPr>
        <w:t>expects to recover 108% of</w:t>
      </w:r>
      <w:r>
        <w:rPr>
          <w:rFonts w:cstheme="minorHAnsi"/>
          <w:b/>
          <w:bCs/>
          <w:i/>
          <w:iCs/>
          <w:color w:val="002060"/>
          <w:sz w:val="24"/>
          <w:szCs w:val="24"/>
        </w:rPr>
        <w:t xml:space="preserve"> those costs in</w:t>
      </w:r>
      <w:r w:rsidRPr="00E65244">
        <w:rPr>
          <w:rFonts w:cstheme="minorHAnsi"/>
          <w:b/>
          <w:bCs/>
          <w:i/>
          <w:iCs/>
          <w:color w:val="002060"/>
          <w:sz w:val="24"/>
          <w:szCs w:val="24"/>
        </w:rPr>
        <w:t xml:space="preserve"> 2026. The entire 2026 fee schedule is published the</w:t>
      </w:r>
      <w:hyperlink r:id="rId10" w:history="1">
        <w:r w:rsidRPr="00E65244">
          <w:rPr>
            <w:rStyle w:val="Hyperlink"/>
            <w:rFonts w:cstheme="minorHAnsi"/>
            <w:b/>
            <w:bCs/>
            <w:i/>
            <w:iCs/>
            <w:sz w:val="24"/>
            <w:szCs w:val="24"/>
          </w:rPr>
          <w:t xml:space="preserve"> Federal Reserve website</w:t>
        </w:r>
      </w:hyperlink>
      <w:r>
        <w:rPr>
          <w:rFonts w:cstheme="minorHAnsi"/>
          <w:b/>
          <w:bCs/>
          <w:i/>
          <w:iCs/>
          <w:color w:val="002060"/>
          <w:sz w:val="24"/>
          <w:szCs w:val="24"/>
        </w:rPr>
        <w:t xml:space="preserve">. </w:t>
      </w:r>
    </w:p>
    <w:p w14:paraId="33563355" w14:textId="77777777" w:rsidR="00286BD0" w:rsidRDefault="00286BD0" w:rsidP="00286BD0">
      <w:pPr>
        <w:spacing w:after="0" w:line="240" w:lineRule="auto"/>
        <w:rPr>
          <w:rFonts w:cstheme="minorHAnsi"/>
          <w:b/>
          <w:bCs/>
          <w:i/>
          <w:iCs/>
          <w:color w:val="002060"/>
          <w:sz w:val="24"/>
          <w:szCs w:val="24"/>
        </w:rPr>
      </w:pPr>
    </w:p>
    <w:p w14:paraId="0CFC0A64" w14:textId="70790C1C" w:rsidR="00286BD0" w:rsidRPr="00E9501F" w:rsidRDefault="00314343" w:rsidP="00286BD0">
      <w:pPr>
        <w:spacing w:after="0" w:line="240" w:lineRule="auto"/>
        <w:rPr>
          <w:rFonts w:eastAsia="Aptos" w:cstheme="minorHAnsi"/>
          <w:color w:val="000000"/>
          <w:sz w:val="28"/>
          <w:szCs w:val="28"/>
        </w:rPr>
      </w:pPr>
      <w:r>
        <w:rPr>
          <w:rFonts w:eastAsia="Aptos" w:cstheme="minorHAnsi"/>
          <w:b/>
          <w:bCs/>
          <w:color w:val="002060"/>
          <w:sz w:val="28"/>
          <w:szCs w:val="28"/>
        </w:rPr>
        <w:t xml:space="preserve">CBAK </w:t>
      </w:r>
      <w:r w:rsidR="00286BD0" w:rsidRPr="00E9501F">
        <w:rPr>
          <w:rFonts w:eastAsia="Aptos" w:cstheme="minorHAnsi"/>
          <w:b/>
          <w:bCs/>
          <w:color w:val="002060"/>
          <w:sz w:val="28"/>
          <w:szCs w:val="28"/>
        </w:rPr>
        <w:t>Insights (Ask Anything)</w:t>
      </w:r>
      <w:r w:rsidR="00286BD0" w:rsidRPr="00E9501F">
        <w:rPr>
          <w:rFonts w:eastAsia="Aptos" w:cstheme="minorHAnsi"/>
          <w:color w:val="002060"/>
          <w:sz w:val="28"/>
          <w:szCs w:val="28"/>
        </w:rPr>
        <w:t xml:space="preserve"> </w:t>
      </w:r>
    </w:p>
    <w:p w14:paraId="3C274EE2" w14:textId="77777777" w:rsidR="00286BD0" w:rsidRPr="00B51536" w:rsidRDefault="00286BD0" w:rsidP="00286BD0">
      <w:pPr>
        <w:spacing w:after="0" w:line="240" w:lineRule="auto"/>
        <w:rPr>
          <w:rFonts w:eastAsia="Aptos" w:cstheme="minorHAnsi"/>
          <w:color w:val="000000"/>
        </w:rPr>
      </w:pPr>
    </w:p>
    <w:p w14:paraId="4B0A028D" w14:textId="77777777" w:rsidR="00286BD0" w:rsidRPr="00AB7C98" w:rsidRDefault="00286BD0" w:rsidP="00286BD0">
      <w:pPr>
        <w:spacing w:after="0" w:line="240" w:lineRule="auto"/>
        <w:rPr>
          <w:rFonts w:ascii="Calibri" w:eastAsia="Aptos" w:hAnsi="Calibri" w:cs="Calibri"/>
          <w:sz w:val="24"/>
          <w:szCs w:val="24"/>
          <w14:ligatures w14:val="standardContextual"/>
        </w:rPr>
      </w:pPr>
      <w:bookmarkStart w:id="20" w:name="_Hlk210744684"/>
      <w:bookmarkEnd w:id="12"/>
      <w:bookmarkEnd w:id="13"/>
      <w:bookmarkEnd w:id="14"/>
      <w:bookmarkEnd w:id="15"/>
      <w:bookmarkEnd w:id="16"/>
      <w:bookmarkEnd w:id="17"/>
      <w:r w:rsidRPr="00AB7C98">
        <w:rPr>
          <w:rFonts w:ascii="Calibri" w:eastAsia="Aptos" w:hAnsi="Calibri" w:cs="Calibri"/>
          <w:b/>
          <w:bCs/>
          <w:sz w:val="24"/>
          <w:szCs w:val="24"/>
          <w14:ligatures w14:val="standardContextual"/>
        </w:rPr>
        <w:t>Q:</w:t>
      </w:r>
      <w:r w:rsidRPr="00AB7C98">
        <w:rPr>
          <w:rFonts w:ascii="Calibri" w:eastAsia="Aptos" w:hAnsi="Calibri" w:cs="Calibri"/>
          <w:sz w:val="24"/>
          <w:szCs w:val="24"/>
          <w14:ligatures w14:val="standardContextual"/>
        </w:rPr>
        <w:t xml:space="preserve"> We have a customer that we suspect is the victim of fraud or may be involved in some sort of fraud. They have sent wires and have purchased and sent cashier’s checks as well. Can we refuse to honor the cashier’s check or send the wire?</w:t>
      </w:r>
    </w:p>
    <w:p w14:paraId="5A10BBE1" w14:textId="77777777" w:rsidR="00286BD0" w:rsidRPr="00AB7C98" w:rsidRDefault="00286BD0" w:rsidP="00286BD0">
      <w:pPr>
        <w:spacing w:after="0" w:line="240" w:lineRule="auto"/>
        <w:rPr>
          <w:rFonts w:ascii="Calibri" w:eastAsia="Aptos" w:hAnsi="Calibri" w:cs="Calibri"/>
          <w:b/>
          <w:bCs/>
          <w:sz w:val="24"/>
          <w:szCs w:val="24"/>
          <w14:ligatures w14:val="standardContextual"/>
        </w:rPr>
      </w:pPr>
    </w:p>
    <w:p w14:paraId="4F048CB7" w14:textId="77777777" w:rsidR="00286BD0" w:rsidRPr="00AB7C98" w:rsidRDefault="00286BD0" w:rsidP="00286BD0">
      <w:pPr>
        <w:spacing w:after="0" w:line="240" w:lineRule="auto"/>
        <w:rPr>
          <w:rFonts w:ascii="Calibri" w:eastAsia="Aptos" w:hAnsi="Calibri" w:cs="Calibri"/>
          <w:sz w:val="24"/>
          <w:szCs w:val="24"/>
          <w14:ligatures w14:val="standardContextual"/>
        </w:rPr>
      </w:pPr>
      <w:r w:rsidRPr="00AB7C98">
        <w:rPr>
          <w:rFonts w:ascii="Calibri" w:eastAsia="Aptos" w:hAnsi="Calibri" w:cs="Calibri"/>
          <w:b/>
          <w:bCs/>
          <w:sz w:val="24"/>
          <w:szCs w:val="24"/>
          <w14:ligatures w14:val="standardContextual"/>
        </w:rPr>
        <w:t>A:</w:t>
      </w:r>
      <w:r w:rsidRPr="00AB7C98">
        <w:rPr>
          <w:rFonts w:ascii="Calibri" w:eastAsia="Aptos" w:hAnsi="Calibri" w:cs="Calibri"/>
          <w:sz w:val="24"/>
          <w:szCs w:val="24"/>
          <w14:ligatures w14:val="standardContextual"/>
        </w:rPr>
        <w:t xml:space="preserve"> </w:t>
      </w:r>
      <w:bookmarkEnd w:id="20"/>
      <w:r w:rsidRPr="00AB7C98">
        <w:rPr>
          <w:rFonts w:ascii="Calibri" w:eastAsia="Aptos" w:hAnsi="Calibri" w:cs="Calibri"/>
          <w:sz w:val="24"/>
          <w:szCs w:val="24"/>
          <w14:ligatures w14:val="standardContextual"/>
        </w:rPr>
        <w:t xml:space="preserve">Let’s tackle the cashier’s check first. Once issued, you can’t refuse to honor the check when it is properly presented. There is just no mechanism for stopping payment on or refusing to honor an authentic cashier’s check aside from it being lost, stolen, or destroyed. </w:t>
      </w:r>
    </w:p>
    <w:p w14:paraId="7C972A7C" w14:textId="77777777" w:rsidR="00286BD0" w:rsidRPr="00AB7C98" w:rsidRDefault="00286BD0" w:rsidP="00286BD0">
      <w:pPr>
        <w:spacing w:after="0" w:line="240" w:lineRule="auto"/>
        <w:rPr>
          <w:rFonts w:ascii="Calibri" w:eastAsia="Aptos" w:hAnsi="Calibri" w:cs="Calibri"/>
          <w:sz w:val="24"/>
          <w:szCs w:val="24"/>
          <w14:ligatures w14:val="standardContextual"/>
        </w:rPr>
      </w:pPr>
    </w:p>
    <w:p w14:paraId="4E45C75D" w14:textId="77777777" w:rsidR="00286BD0" w:rsidRPr="00AB7C98" w:rsidRDefault="00286BD0" w:rsidP="00286BD0">
      <w:pPr>
        <w:spacing w:after="0" w:line="240" w:lineRule="auto"/>
        <w:rPr>
          <w:rFonts w:ascii="Calibri" w:eastAsia="Aptos" w:hAnsi="Calibri" w:cs="Calibri"/>
          <w:sz w:val="24"/>
          <w:szCs w:val="24"/>
          <w14:ligatures w14:val="standardContextual"/>
        </w:rPr>
      </w:pPr>
      <w:r w:rsidRPr="00AB7C98">
        <w:rPr>
          <w:rFonts w:ascii="Calibri" w:eastAsia="Aptos" w:hAnsi="Calibri" w:cs="Calibri"/>
          <w:sz w:val="24"/>
          <w:szCs w:val="24"/>
          <w14:ligatures w14:val="standardContextual"/>
        </w:rPr>
        <w:t>Similar with the wire, once sent it is sent and any hope of recovering or recalling the wire lies with the recipient bank and the receiver. Like a cashier’s check, there is just no mechanism for recalling a wire because either your bank or the sender suspect fraud.</w:t>
      </w:r>
    </w:p>
    <w:p w14:paraId="65FE1F69" w14:textId="77777777" w:rsidR="00286BD0" w:rsidRPr="00AB7C98" w:rsidRDefault="00286BD0" w:rsidP="00286BD0">
      <w:pPr>
        <w:spacing w:after="0" w:line="240" w:lineRule="auto"/>
        <w:rPr>
          <w:rFonts w:ascii="Calibri" w:eastAsia="Aptos" w:hAnsi="Calibri" w:cs="Calibri"/>
          <w:sz w:val="24"/>
          <w:szCs w:val="24"/>
          <w14:ligatures w14:val="standardContextual"/>
        </w:rPr>
      </w:pPr>
    </w:p>
    <w:p w14:paraId="6107FD2C" w14:textId="201AA7A3" w:rsidR="00286BD0" w:rsidRPr="00AB7C98" w:rsidRDefault="00286BD0" w:rsidP="00286BD0">
      <w:pPr>
        <w:spacing w:after="0" w:line="240" w:lineRule="auto"/>
        <w:rPr>
          <w:rFonts w:ascii="Calibri" w:eastAsia="Aptos" w:hAnsi="Calibri" w:cs="Calibri"/>
          <w:sz w:val="24"/>
          <w:szCs w:val="24"/>
          <w14:ligatures w14:val="standardContextual"/>
        </w:rPr>
      </w:pPr>
      <w:r w:rsidRPr="00AB7C98">
        <w:rPr>
          <w:rFonts w:ascii="Calibri" w:eastAsia="Aptos" w:hAnsi="Calibri" w:cs="Calibri"/>
          <w:sz w:val="24"/>
          <w:szCs w:val="24"/>
          <w14:ligatures w14:val="standardContextual"/>
        </w:rPr>
        <w:lastRenderedPageBreak/>
        <w:t xml:space="preserve">Can you refuse to send a wire or issue a cashier’s check? That gets complicated because if the accountholder has the </w:t>
      </w:r>
      <w:proofErr w:type="gramStart"/>
      <w:r w:rsidRPr="00AB7C98">
        <w:rPr>
          <w:rFonts w:ascii="Calibri" w:eastAsia="Aptos" w:hAnsi="Calibri" w:cs="Calibri"/>
          <w:sz w:val="24"/>
          <w:szCs w:val="24"/>
          <w14:ligatures w14:val="standardContextual"/>
        </w:rPr>
        <w:t>available funds</w:t>
      </w:r>
      <w:proofErr w:type="gramEnd"/>
      <w:r w:rsidRPr="00AB7C98">
        <w:rPr>
          <w:rFonts w:ascii="Calibri" w:eastAsia="Aptos" w:hAnsi="Calibri" w:cs="Calibri"/>
          <w:sz w:val="24"/>
          <w:szCs w:val="24"/>
          <w14:ligatures w14:val="standardContextual"/>
        </w:rPr>
        <w:t xml:space="preserve"> there are no grounds not to allow them to transact on the account.</w:t>
      </w:r>
      <w:r>
        <w:rPr>
          <w:rFonts w:ascii="Calibri" w:eastAsia="Aptos" w:hAnsi="Calibri" w:cs="Calibri"/>
          <w:sz w:val="24"/>
          <w:szCs w:val="24"/>
          <w14:ligatures w14:val="standardContextual"/>
        </w:rPr>
        <w:t xml:space="preserve"> Any refusal should be based on </w:t>
      </w:r>
      <w:proofErr w:type="gramStart"/>
      <w:r>
        <w:rPr>
          <w:rFonts w:ascii="Calibri" w:eastAsia="Aptos" w:hAnsi="Calibri" w:cs="Calibri"/>
          <w:sz w:val="24"/>
          <w:szCs w:val="24"/>
          <w14:ligatures w14:val="standardContextual"/>
        </w:rPr>
        <w:t>actual facts</w:t>
      </w:r>
      <w:proofErr w:type="gramEnd"/>
      <w:r>
        <w:rPr>
          <w:rFonts w:ascii="Calibri" w:eastAsia="Aptos" w:hAnsi="Calibri" w:cs="Calibri"/>
          <w:sz w:val="24"/>
          <w:szCs w:val="24"/>
          <w14:ligatures w14:val="standardContextual"/>
        </w:rPr>
        <w:t xml:space="preserve"> and any contractual provisions you have with the accountholder.</w:t>
      </w:r>
      <w:r w:rsidRPr="00AB7C98">
        <w:rPr>
          <w:rFonts w:ascii="Calibri" w:eastAsia="Aptos" w:hAnsi="Calibri" w:cs="Calibri"/>
          <w:sz w:val="24"/>
          <w:szCs w:val="24"/>
          <w14:ligatures w14:val="standardContextual"/>
        </w:rPr>
        <w:t xml:space="preserve"> </w:t>
      </w:r>
    </w:p>
    <w:p w14:paraId="0A886EC2" w14:textId="77777777" w:rsidR="00286BD0" w:rsidRPr="00AB7C98" w:rsidRDefault="00286BD0" w:rsidP="00286BD0">
      <w:pPr>
        <w:spacing w:after="0" w:line="240" w:lineRule="auto"/>
        <w:rPr>
          <w:rFonts w:ascii="Calibri" w:eastAsia="Aptos" w:hAnsi="Calibri" w:cs="Calibri"/>
          <w:sz w:val="24"/>
          <w:szCs w:val="24"/>
          <w14:ligatures w14:val="standardContextual"/>
        </w:rPr>
      </w:pPr>
    </w:p>
    <w:p w14:paraId="2F0DBFED" w14:textId="77777777" w:rsidR="00286BD0" w:rsidRPr="00AB7C98" w:rsidRDefault="00286BD0" w:rsidP="00286BD0">
      <w:pPr>
        <w:spacing w:after="0" w:line="240" w:lineRule="auto"/>
        <w:rPr>
          <w:rFonts w:ascii="Calibri" w:eastAsia="Aptos" w:hAnsi="Calibri" w:cs="Calibri"/>
          <w:color w:val="333333"/>
          <w:sz w:val="24"/>
          <w:szCs w:val="24"/>
        </w:rPr>
      </w:pPr>
      <w:r w:rsidRPr="00AB7C98">
        <w:rPr>
          <w:rFonts w:ascii="Calibri" w:eastAsia="Aptos" w:hAnsi="Calibri" w:cs="Calibri"/>
          <w:sz w:val="24"/>
          <w:szCs w:val="24"/>
          <w14:ligatures w14:val="standardContextual"/>
        </w:rPr>
        <w:t xml:space="preserve">The best defense is to educate the accountholder before – and hopefully preventing them from sending – the cashier’s check or wire to begin with. Let them know that once sent, it is like handing cash out with no guarantee of performance or recovery. </w:t>
      </w:r>
    </w:p>
    <w:p w14:paraId="3D88AA75" w14:textId="77777777" w:rsidR="00286BD0" w:rsidRDefault="00286BD0" w:rsidP="00286BD0">
      <w:pPr>
        <w:spacing w:after="0" w:line="240" w:lineRule="auto"/>
        <w:rPr>
          <w:rFonts w:eastAsia="Aptos" w:cstheme="minorHAnsi"/>
          <w:i/>
          <w:iCs/>
          <w:color w:val="101820"/>
          <w:sz w:val="24"/>
          <w:szCs w:val="24"/>
        </w:rPr>
      </w:pPr>
    </w:p>
    <w:bookmarkEnd w:id="18"/>
    <w:p w14:paraId="3F002FA8" w14:textId="77777777" w:rsidR="00286BD0" w:rsidRPr="001E0B8E" w:rsidRDefault="00286BD0" w:rsidP="00286BD0">
      <w:pPr>
        <w:spacing w:after="0" w:line="240" w:lineRule="auto"/>
        <w:rPr>
          <w:rFonts w:ascii="Verdana" w:hAnsi="Verdana"/>
          <w:b/>
          <w:bCs/>
        </w:rPr>
      </w:pPr>
      <w:r w:rsidRPr="001E0B8E">
        <w:rPr>
          <w:rFonts w:ascii="Verdana" w:hAnsi="Verdana"/>
          <w:b/>
          <w:bCs/>
        </w:rPr>
        <w:t>Bank Management</w:t>
      </w:r>
    </w:p>
    <w:tbl>
      <w:tblPr>
        <w:tblStyle w:val="TableGrid"/>
        <w:tblW w:w="9350" w:type="dxa"/>
        <w:tblLook w:val="04A0" w:firstRow="1" w:lastRow="0" w:firstColumn="1" w:lastColumn="0" w:noHBand="0" w:noVBand="1"/>
      </w:tblPr>
      <w:tblGrid>
        <w:gridCol w:w="985"/>
        <w:gridCol w:w="8365"/>
      </w:tblGrid>
      <w:tr w:rsidR="00286BD0" w:rsidRPr="00B7191D" w14:paraId="785C1239" w14:textId="77777777" w:rsidTr="00985302">
        <w:tc>
          <w:tcPr>
            <w:tcW w:w="985" w:type="dxa"/>
            <w:shd w:val="clear" w:color="auto" w:fill="00B050"/>
          </w:tcPr>
          <w:p w14:paraId="0531221E" w14:textId="77777777" w:rsidR="00286BD0" w:rsidRPr="00B21323" w:rsidRDefault="00286BD0" w:rsidP="00985302">
            <w:pPr>
              <w:tabs>
                <w:tab w:val="left" w:pos="580"/>
              </w:tabs>
              <w:rPr>
                <w:rFonts w:cstheme="minorHAnsi"/>
              </w:rPr>
            </w:pPr>
          </w:p>
        </w:tc>
        <w:tc>
          <w:tcPr>
            <w:tcW w:w="8365" w:type="dxa"/>
            <w:shd w:val="clear" w:color="auto" w:fill="FFFFFF" w:themeFill="background1"/>
          </w:tcPr>
          <w:p w14:paraId="48F68375" w14:textId="77777777" w:rsidR="00286BD0" w:rsidRPr="00B7191D" w:rsidRDefault="00286BD0" w:rsidP="00985302">
            <w:pPr>
              <w:pStyle w:val="NormalWeb"/>
              <w:shd w:val="clear" w:color="auto" w:fill="FFFFFF"/>
              <w:rPr>
                <w:rFonts w:asciiTheme="minorHAnsi" w:eastAsia="Times New Roman" w:hAnsiTheme="minorHAnsi" w:cstheme="minorHAnsi"/>
                <w:color w:val="1B1B1B"/>
                <w:sz w:val="22"/>
                <w:szCs w:val="22"/>
              </w:rPr>
            </w:pPr>
            <w:r w:rsidRPr="00B7191D">
              <w:rPr>
                <w:rFonts w:asciiTheme="minorHAnsi" w:eastAsia="Calibri" w:hAnsiTheme="minorHAnsi" w:cstheme="minorHAnsi"/>
                <w:b/>
                <w:bCs/>
                <w:color w:val="000000"/>
                <w:sz w:val="22"/>
                <w:szCs w:val="22"/>
              </w:rPr>
              <w:t>OCC</w:t>
            </w:r>
            <w:r w:rsidRPr="00B7191D">
              <w:rPr>
                <w:rFonts w:asciiTheme="minorHAnsi" w:eastAsia="Calibri" w:hAnsiTheme="minorHAnsi" w:cstheme="minorHAnsi"/>
                <w:color w:val="000000"/>
                <w:sz w:val="22"/>
                <w:szCs w:val="22"/>
              </w:rPr>
              <w:t xml:space="preserve"> </w:t>
            </w:r>
            <w:hyperlink r:id="rId11" w:history="1">
              <w:r w:rsidRPr="00B7191D">
                <w:rPr>
                  <w:rStyle w:val="Hyperlink"/>
                  <w:rFonts w:asciiTheme="minorHAnsi" w:eastAsia="Calibri" w:hAnsiTheme="minorHAnsi" w:cstheme="minorHAnsi"/>
                  <w:sz w:val="22"/>
                  <w:szCs w:val="22"/>
                </w:rPr>
                <w:t>Comptroller Issues Statement on Congressional Debanking Report</w:t>
              </w:r>
            </w:hyperlink>
            <w:r w:rsidRPr="00B7191D">
              <w:rPr>
                <w:rFonts w:asciiTheme="minorHAnsi" w:eastAsia="Calibri" w:hAnsiTheme="minorHAnsi" w:cstheme="minorHAnsi"/>
                <w:color w:val="000000"/>
                <w:sz w:val="22"/>
                <w:szCs w:val="22"/>
              </w:rPr>
              <w:t xml:space="preserve"> (12/01/2025) –</w:t>
            </w:r>
            <w:r w:rsidRPr="00B7191D">
              <w:rPr>
                <w:rFonts w:asciiTheme="minorHAnsi" w:hAnsiTheme="minorHAnsi" w:cstheme="minorHAnsi"/>
                <w:sz w:val="22"/>
                <w:szCs w:val="22"/>
              </w:rPr>
              <w:t xml:space="preserve"> </w:t>
            </w:r>
            <w:r w:rsidRPr="00B7191D">
              <w:rPr>
                <w:rFonts w:asciiTheme="minorHAnsi" w:eastAsia="Times New Roman" w:hAnsiTheme="minorHAnsi" w:cstheme="minorHAnsi"/>
                <w:color w:val="1B1B1B"/>
                <w:sz w:val="22"/>
                <w:szCs w:val="22"/>
              </w:rPr>
              <w:t>WASHINGTON—Comptroller of the Currency Jonathan V. Gould issued the following statement on the release of the report titled “Operation Chokepoint 2.0: Biden’s Debanking of Digital Assets,” issued by the U.S. House of Representatives’ Financial Services Committee majority staff.</w:t>
            </w:r>
          </w:p>
          <w:p w14:paraId="341DFFF0" w14:textId="77777777" w:rsidR="00286BD0" w:rsidRPr="00B7191D" w:rsidRDefault="00286BD0" w:rsidP="00985302">
            <w:pPr>
              <w:shd w:val="clear" w:color="auto" w:fill="FFFFFF"/>
              <w:spacing w:before="100" w:beforeAutospacing="1" w:after="100" w:afterAutospacing="1"/>
              <w:rPr>
                <w:rFonts w:eastAsia="Times New Roman" w:cstheme="minorHAnsi"/>
                <w:i/>
                <w:iCs/>
                <w:color w:val="1B1B1B"/>
              </w:rPr>
            </w:pPr>
            <w:r w:rsidRPr="00B7191D">
              <w:rPr>
                <w:rFonts w:eastAsia="Times New Roman" w:cstheme="minorHAnsi"/>
                <w:i/>
                <w:iCs/>
                <w:color w:val="1B1B1B"/>
              </w:rPr>
              <w:t>The congressional staff report on the Biden Administration’s coordinated effort to debank digital assets confirms what many have long suspected: the Biden Administration’s actions discouraged and prevented the institutions within the regulated banking system from engaging with digital assets. I commend Financial Services Committee Chairman Hill and his staff for shining a light on the politicization of banking which has hampered industry’s efforts to modernize, innovate, better serve their customers and contribute to the national economy.</w:t>
            </w:r>
          </w:p>
          <w:p w14:paraId="7DF06B42" w14:textId="77777777" w:rsidR="00286BD0" w:rsidRPr="00B7191D" w:rsidRDefault="00286BD0" w:rsidP="00985302">
            <w:pPr>
              <w:shd w:val="clear" w:color="auto" w:fill="FFFFFF"/>
              <w:spacing w:before="100" w:beforeAutospacing="1" w:after="100" w:afterAutospacing="1"/>
              <w:rPr>
                <w:rFonts w:eastAsia="Times New Roman" w:cstheme="minorHAnsi"/>
                <w:i/>
                <w:iCs/>
                <w:color w:val="1B1B1B"/>
              </w:rPr>
            </w:pPr>
            <w:r w:rsidRPr="00B7191D">
              <w:rPr>
                <w:rFonts w:eastAsia="Times New Roman" w:cstheme="minorHAnsi"/>
                <w:i/>
                <w:iCs/>
                <w:color w:val="1B1B1B"/>
              </w:rPr>
              <w:t>To provide transparency around the OCC’s prior requirement for non-supervisory objection before a national bank engaged in digital asset activities under Interpretive Letter 1179, the OCC recently published each formal bank request submitted and the agency’s response. Additionally, the OCC has removed references to reputation risk in its handbooks and guidance documents and, with the Federal Deposit Insurance Corporation, issued a proposal to codify the elimination of reputation risk from its supervisory programs. These actions eliminate one of the tools previously used by regulators to drive debanking.</w:t>
            </w:r>
          </w:p>
          <w:p w14:paraId="0B4FB159" w14:textId="77777777" w:rsidR="00286BD0" w:rsidRPr="00B7191D" w:rsidRDefault="00286BD0" w:rsidP="00985302">
            <w:pPr>
              <w:shd w:val="clear" w:color="auto" w:fill="FFFFFF"/>
              <w:spacing w:before="100" w:beforeAutospacing="1" w:after="100" w:afterAutospacing="1"/>
              <w:rPr>
                <w:rFonts w:eastAsia="Times New Roman" w:cstheme="minorHAnsi"/>
                <w:i/>
                <w:iCs/>
                <w:color w:val="1B1B1B"/>
              </w:rPr>
            </w:pPr>
            <w:r w:rsidRPr="00B7191D">
              <w:rPr>
                <w:rFonts w:eastAsia="Times New Roman" w:cstheme="minorHAnsi"/>
                <w:i/>
                <w:iCs/>
                <w:color w:val="1B1B1B"/>
              </w:rPr>
              <w:t>Consistent with the President’s Executive Order on Guaranteeing Fair Banking for All Americans, the OCC continues its investigation into the role played by the largest banks in debanking digital asset customers or other legal businesses. The OCC intends to hold these banks accountable for any unlawful debanking activities it identifies, and to ensure OCC-supervised institutions provide access to financial services based on individualized, objective and risk-based analyses.</w:t>
            </w:r>
          </w:p>
          <w:p w14:paraId="0B536C3E" w14:textId="77777777" w:rsidR="00286BD0" w:rsidRPr="00B7191D" w:rsidRDefault="00286BD0" w:rsidP="00985302">
            <w:pPr>
              <w:shd w:val="clear" w:color="auto" w:fill="FFFFFF"/>
              <w:spacing w:before="240" w:after="132"/>
              <w:outlineLvl w:val="1"/>
              <w:rPr>
                <w:rFonts w:eastAsia="Times New Roman" w:cstheme="minorHAnsi"/>
                <w:color w:val="1B1B1B"/>
              </w:rPr>
            </w:pPr>
            <w:r w:rsidRPr="00B7191D">
              <w:rPr>
                <w:rFonts w:eastAsia="Times New Roman" w:cstheme="minorHAnsi"/>
                <w:color w:val="1B1B1B"/>
              </w:rPr>
              <w:t>Related Links</w:t>
            </w:r>
          </w:p>
          <w:p w14:paraId="1A6C2FE3" w14:textId="77777777" w:rsidR="00286BD0" w:rsidRPr="00B7191D" w:rsidRDefault="00286BD0" w:rsidP="00286BD0">
            <w:pPr>
              <w:numPr>
                <w:ilvl w:val="0"/>
                <w:numId w:val="29"/>
              </w:numPr>
              <w:shd w:val="clear" w:color="auto" w:fill="FFFFFF"/>
              <w:spacing w:before="100" w:beforeAutospacing="1" w:after="100" w:afterAutospacing="1"/>
              <w:rPr>
                <w:rFonts w:eastAsia="Times New Roman" w:cstheme="minorHAnsi"/>
                <w:color w:val="1B1B1B"/>
              </w:rPr>
            </w:pPr>
            <w:hyperlink r:id="rId12" w:tooltip="Summary of Interpretive Letter 1179 Requests" w:history="1">
              <w:r w:rsidRPr="00B7191D">
                <w:rPr>
                  <w:rFonts w:eastAsia="Times New Roman" w:cstheme="minorHAnsi"/>
                  <w:color w:val="205493"/>
                  <w:u w:val="single"/>
                </w:rPr>
                <w:t>Summary of Interpretive Letter 1179 Requests</w:t>
              </w:r>
            </w:hyperlink>
          </w:p>
          <w:p w14:paraId="1A7E3FA3" w14:textId="738B9129" w:rsidR="00286BD0" w:rsidRPr="00314343" w:rsidRDefault="00286BD0" w:rsidP="00314343">
            <w:pPr>
              <w:rPr>
                <w:rFonts w:eastAsia="Aptos" w:cstheme="minorHAnsi"/>
                <w:b/>
                <w:bCs/>
                <w:i/>
                <w:iCs/>
                <w:color w:val="002060"/>
              </w:rPr>
            </w:pPr>
            <w:r w:rsidRPr="00E65244">
              <w:rPr>
                <w:rFonts w:eastAsia="Aptos" w:cstheme="minorHAnsi"/>
                <w:b/>
                <w:bCs/>
                <w:i/>
                <w:iCs/>
                <w:color w:val="002060"/>
              </w:rPr>
              <w:t xml:space="preserve">Comment: </w:t>
            </w:r>
            <w:r>
              <w:rPr>
                <w:rFonts w:eastAsia="Aptos" w:cstheme="minorHAnsi"/>
                <w:b/>
                <w:bCs/>
                <w:i/>
                <w:iCs/>
                <w:color w:val="002060"/>
              </w:rPr>
              <w:t xml:space="preserve">In October of this year, Comptroller of the Currency Jonathan Gould said </w:t>
            </w:r>
            <w:r w:rsidRPr="00E65244">
              <w:rPr>
                <w:rFonts w:eastAsia="Aptos" w:cstheme="minorHAnsi"/>
                <w:b/>
                <w:bCs/>
                <w:i/>
                <w:iCs/>
                <w:color w:val="002060"/>
              </w:rPr>
              <w:t>that the OCC would be using its licensing process, the Community Reinvestment Act exam process, the consumer complaints it receives and third-party databases to “bring to light any debanking issues.”</w:t>
            </w:r>
          </w:p>
        </w:tc>
      </w:tr>
      <w:tr w:rsidR="00286BD0" w:rsidRPr="00B7191D" w14:paraId="69935D77" w14:textId="77777777" w:rsidTr="00985302">
        <w:tc>
          <w:tcPr>
            <w:tcW w:w="985" w:type="dxa"/>
          </w:tcPr>
          <w:p w14:paraId="7F3415E1" w14:textId="77777777" w:rsidR="00286BD0" w:rsidRPr="00E65244" w:rsidRDefault="00286BD0" w:rsidP="00985302">
            <w:pPr>
              <w:tabs>
                <w:tab w:val="left" w:pos="580"/>
              </w:tabs>
              <w:rPr>
                <w:rFonts w:cstheme="minorHAnsi"/>
              </w:rPr>
            </w:pPr>
          </w:p>
        </w:tc>
        <w:tc>
          <w:tcPr>
            <w:tcW w:w="8365" w:type="dxa"/>
            <w:shd w:val="clear" w:color="auto" w:fill="FFFFFF" w:themeFill="background1"/>
          </w:tcPr>
          <w:p w14:paraId="0C385EA3" w14:textId="77777777" w:rsidR="00286BD0" w:rsidRPr="00E65244" w:rsidRDefault="00286BD0" w:rsidP="00985302">
            <w:pPr>
              <w:pStyle w:val="NormalWeb"/>
              <w:shd w:val="clear" w:color="auto" w:fill="FFFFFF"/>
              <w:rPr>
                <w:rFonts w:asciiTheme="minorHAnsi" w:eastAsia="Calibri" w:hAnsiTheme="minorHAnsi" w:cstheme="minorHAnsi"/>
                <w:b/>
                <w:bCs/>
                <w:color w:val="000000"/>
                <w:sz w:val="22"/>
                <w:szCs w:val="22"/>
              </w:rPr>
            </w:pPr>
          </w:p>
        </w:tc>
      </w:tr>
      <w:tr w:rsidR="00286BD0" w:rsidRPr="00307115" w14:paraId="1340CE5C" w14:textId="77777777" w:rsidTr="00985302">
        <w:tc>
          <w:tcPr>
            <w:tcW w:w="985" w:type="dxa"/>
            <w:shd w:val="clear" w:color="auto" w:fill="00B050"/>
          </w:tcPr>
          <w:p w14:paraId="55759EA8" w14:textId="77777777" w:rsidR="00286BD0" w:rsidRPr="00E65244" w:rsidRDefault="00286BD0" w:rsidP="00985302">
            <w:pPr>
              <w:tabs>
                <w:tab w:val="left" w:pos="580"/>
              </w:tabs>
              <w:rPr>
                <w:rFonts w:cstheme="minorHAnsi"/>
              </w:rPr>
            </w:pPr>
          </w:p>
        </w:tc>
        <w:tc>
          <w:tcPr>
            <w:tcW w:w="8365" w:type="dxa"/>
            <w:shd w:val="clear" w:color="auto" w:fill="FFFFFF" w:themeFill="background1"/>
          </w:tcPr>
          <w:p w14:paraId="1C54799C" w14:textId="77777777" w:rsidR="00286BD0" w:rsidRPr="00307115" w:rsidRDefault="00286BD0" w:rsidP="00985302">
            <w:pPr>
              <w:pStyle w:val="NormalWeb"/>
              <w:shd w:val="clear" w:color="auto" w:fill="FFFFFF"/>
              <w:rPr>
                <w:rFonts w:asciiTheme="minorHAnsi" w:eastAsia="Times New Roman" w:hAnsiTheme="minorHAnsi" w:cstheme="minorHAnsi"/>
                <w:color w:val="1B1B1B"/>
                <w:sz w:val="22"/>
                <w:szCs w:val="22"/>
              </w:rPr>
            </w:pPr>
            <w:r w:rsidRPr="00307115">
              <w:rPr>
                <w:rFonts w:asciiTheme="minorHAnsi" w:eastAsia="Calibri" w:hAnsiTheme="minorHAnsi" w:cstheme="minorHAnsi"/>
                <w:b/>
                <w:bCs/>
                <w:color w:val="000000"/>
                <w:sz w:val="22"/>
                <w:szCs w:val="22"/>
              </w:rPr>
              <w:t>OCC</w:t>
            </w:r>
            <w:r w:rsidRPr="00307115">
              <w:rPr>
                <w:rFonts w:asciiTheme="minorHAnsi" w:eastAsia="Calibri" w:hAnsiTheme="minorHAnsi" w:cstheme="minorHAnsi"/>
                <w:color w:val="000000"/>
                <w:sz w:val="22"/>
                <w:szCs w:val="22"/>
              </w:rPr>
              <w:t xml:space="preserve"> </w:t>
            </w:r>
            <w:hyperlink r:id="rId13" w:history="1">
              <w:r w:rsidRPr="00794EFB">
                <w:rPr>
                  <w:rStyle w:val="Hyperlink"/>
                  <w:rFonts w:asciiTheme="minorHAnsi" w:eastAsia="Calibri" w:hAnsiTheme="minorHAnsi" w:cstheme="minorHAnsi"/>
                  <w:sz w:val="22"/>
                  <w:szCs w:val="22"/>
                </w:rPr>
                <w:t>Comptroller Testifies on Agency Activities</w:t>
              </w:r>
            </w:hyperlink>
            <w:r w:rsidRPr="00307115">
              <w:rPr>
                <w:rFonts w:asciiTheme="minorHAnsi" w:eastAsia="Calibri" w:hAnsiTheme="minorHAnsi" w:cstheme="minorHAnsi"/>
                <w:color w:val="000000"/>
                <w:sz w:val="22"/>
                <w:szCs w:val="22"/>
              </w:rPr>
              <w:t xml:space="preserve"> (12/02/2025) –</w:t>
            </w:r>
            <w:r w:rsidRPr="00307115">
              <w:rPr>
                <w:rFonts w:asciiTheme="minorHAnsi" w:hAnsiTheme="minorHAnsi" w:cstheme="minorHAnsi"/>
                <w:sz w:val="22"/>
                <w:szCs w:val="22"/>
              </w:rPr>
              <w:t xml:space="preserve"> </w:t>
            </w:r>
            <w:r w:rsidRPr="00307115">
              <w:rPr>
                <w:rFonts w:asciiTheme="minorHAnsi" w:eastAsia="Times New Roman" w:hAnsiTheme="minorHAnsi" w:cstheme="minorHAnsi"/>
                <w:color w:val="1B1B1B"/>
                <w:sz w:val="22"/>
                <w:szCs w:val="22"/>
              </w:rPr>
              <w:t>WASHINGTON—Comptroller Jonathan V. Gould testified on the Office of the Comptroller of the Currency’s (OCC) activities before the Committee on Financial Services of the U.S. House of Representatives.</w:t>
            </w:r>
          </w:p>
          <w:p w14:paraId="6FCA22B2" w14:textId="77777777" w:rsidR="00286BD0" w:rsidRPr="00307115" w:rsidRDefault="00286BD0" w:rsidP="00985302">
            <w:pPr>
              <w:shd w:val="clear" w:color="auto" w:fill="FFFFFF"/>
              <w:spacing w:before="100" w:beforeAutospacing="1" w:after="100" w:afterAutospacing="1"/>
              <w:rPr>
                <w:rFonts w:eastAsia="Times New Roman" w:cstheme="minorHAnsi"/>
                <w:color w:val="1B1B1B"/>
              </w:rPr>
            </w:pPr>
            <w:r w:rsidRPr="00307115">
              <w:rPr>
                <w:rFonts w:eastAsia="Times New Roman" w:cstheme="minorHAnsi"/>
                <w:color w:val="1B1B1B"/>
              </w:rPr>
              <w:lastRenderedPageBreak/>
              <w:t>In his testimony, the Comptroller discussed the OCC’s work to reset its risk tolerance and refocus supervision on material financial risks so banks may better support a thriving economy. He highlighted the agency’s efforts to eliminate debanking from the federal banking system, improve capital standards, and implement the GENIUS Act. Mr. Gould also discussed addressing agency operations.</w:t>
            </w:r>
          </w:p>
          <w:p w14:paraId="38A1FC61" w14:textId="77777777" w:rsidR="00286BD0" w:rsidRPr="00307115" w:rsidRDefault="00286BD0" w:rsidP="00985302">
            <w:pPr>
              <w:shd w:val="clear" w:color="auto" w:fill="FFFFFF"/>
              <w:spacing w:before="240" w:after="132"/>
              <w:outlineLvl w:val="1"/>
              <w:rPr>
                <w:rFonts w:eastAsia="Times New Roman" w:cstheme="minorHAnsi"/>
                <w:color w:val="1B1B1B"/>
              </w:rPr>
            </w:pPr>
            <w:r w:rsidRPr="00307115">
              <w:rPr>
                <w:rFonts w:eastAsia="Times New Roman" w:cstheme="minorHAnsi"/>
                <w:color w:val="1B1B1B"/>
              </w:rPr>
              <w:t>Related Link</w:t>
            </w:r>
          </w:p>
          <w:p w14:paraId="395BD680" w14:textId="77777777" w:rsidR="00286BD0" w:rsidRPr="00D96FF3" w:rsidRDefault="00286BD0" w:rsidP="00286BD0">
            <w:pPr>
              <w:numPr>
                <w:ilvl w:val="0"/>
                <w:numId w:val="30"/>
              </w:numPr>
              <w:shd w:val="clear" w:color="auto" w:fill="FFFFFF"/>
              <w:spacing w:before="100" w:beforeAutospacing="1" w:after="100" w:afterAutospacing="1"/>
              <w:rPr>
                <w:rFonts w:eastAsia="Times New Roman" w:cstheme="minorHAnsi"/>
                <w:color w:val="1B1B1B"/>
              </w:rPr>
            </w:pPr>
            <w:hyperlink r:id="rId14" w:tgtFrame="_blank" w:tooltip="Comptroller Testifies on Agency Activities " w:history="1">
              <w:r w:rsidRPr="00307115">
                <w:rPr>
                  <w:rFonts w:eastAsia="Times New Roman" w:cstheme="minorHAnsi"/>
                  <w:color w:val="205493"/>
                  <w:u w:val="single"/>
                </w:rPr>
                <w:t>Written Testimony</w:t>
              </w:r>
            </w:hyperlink>
            <w:r w:rsidRPr="00307115">
              <w:rPr>
                <w:rFonts w:eastAsia="Times New Roman" w:cstheme="minorHAnsi"/>
                <w:color w:val="1B1B1B"/>
              </w:rPr>
              <w:t> (PDF)</w:t>
            </w:r>
          </w:p>
        </w:tc>
      </w:tr>
      <w:tr w:rsidR="00286BD0" w:rsidRPr="00B7191D" w14:paraId="3FFF98FF" w14:textId="77777777" w:rsidTr="00985302">
        <w:tc>
          <w:tcPr>
            <w:tcW w:w="985" w:type="dxa"/>
          </w:tcPr>
          <w:p w14:paraId="38395B71" w14:textId="77777777" w:rsidR="00286BD0" w:rsidRPr="00B7191D" w:rsidRDefault="00286BD0" w:rsidP="00985302">
            <w:pPr>
              <w:tabs>
                <w:tab w:val="left" w:pos="580"/>
              </w:tabs>
              <w:rPr>
                <w:rFonts w:cstheme="minorHAnsi"/>
                <w:lang w:val="fr-FR"/>
              </w:rPr>
            </w:pPr>
          </w:p>
        </w:tc>
        <w:tc>
          <w:tcPr>
            <w:tcW w:w="8365" w:type="dxa"/>
            <w:shd w:val="clear" w:color="auto" w:fill="FFFFFF" w:themeFill="background1"/>
          </w:tcPr>
          <w:p w14:paraId="0B75C47D" w14:textId="77777777" w:rsidR="00286BD0" w:rsidRPr="00B7191D" w:rsidRDefault="00286BD0" w:rsidP="00985302">
            <w:pPr>
              <w:pStyle w:val="NormalWeb"/>
              <w:shd w:val="clear" w:color="auto" w:fill="FFFFFF"/>
              <w:rPr>
                <w:rFonts w:asciiTheme="minorHAnsi" w:eastAsia="Calibri" w:hAnsiTheme="minorHAnsi" w:cstheme="minorHAnsi"/>
                <w:b/>
                <w:bCs/>
                <w:color w:val="000000"/>
                <w:sz w:val="22"/>
                <w:szCs w:val="22"/>
                <w:lang w:val="fr-FR"/>
              </w:rPr>
            </w:pPr>
          </w:p>
        </w:tc>
      </w:tr>
      <w:tr w:rsidR="00286BD0" w:rsidRPr="00D5188C" w14:paraId="4F48A1E4" w14:textId="77777777" w:rsidTr="00985302">
        <w:tc>
          <w:tcPr>
            <w:tcW w:w="985" w:type="dxa"/>
            <w:shd w:val="clear" w:color="auto" w:fill="00B050"/>
          </w:tcPr>
          <w:p w14:paraId="4B9D4135" w14:textId="77777777" w:rsidR="00286BD0" w:rsidRPr="00B7191D" w:rsidRDefault="00286BD0" w:rsidP="00985302">
            <w:pPr>
              <w:tabs>
                <w:tab w:val="left" w:pos="580"/>
              </w:tabs>
              <w:rPr>
                <w:rFonts w:cstheme="minorHAnsi"/>
                <w:lang w:val="fr-FR"/>
              </w:rPr>
            </w:pPr>
          </w:p>
        </w:tc>
        <w:tc>
          <w:tcPr>
            <w:tcW w:w="8365" w:type="dxa"/>
            <w:shd w:val="clear" w:color="auto" w:fill="FFFFFF" w:themeFill="background1"/>
          </w:tcPr>
          <w:p w14:paraId="6ADB6E89" w14:textId="77777777" w:rsidR="00286BD0" w:rsidRPr="00D96FF3" w:rsidRDefault="00286BD0" w:rsidP="00985302">
            <w:pPr>
              <w:pStyle w:val="NormalWeb"/>
              <w:shd w:val="clear" w:color="auto" w:fill="FFFFFF"/>
              <w:rPr>
                <w:rFonts w:asciiTheme="minorHAnsi" w:hAnsiTheme="minorHAnsi" w:cstheme="minorHAnsi"/>
                <w:i/>
                <w:iCs/>
                <w:sz w:val="22"/>
                <w:szCs w:val="22"/>
              </w:rPr>
            </w:pPr>
            <w:r w:rsidRPr="00D5188C">
              <w:rPr>
                <w:rFonts w:asciiTheme="minorHAnsi" w:eastAsia="Calibri" w:hAnsiTheme="minorHAnsi" w:cstheme="minorHAnsi"/>
                <w:b/>
                <w:bCs/>
                <w:color w:val="000000"/>
                <w:sz w:val="22"/>
                <w:szCs w:val="22"/>
              </w:rPr>
              <w:t>F</w:t>
            </w:r>
            <w:r w:rsidRPr="00D5188C">
              <w:rPr>
                <w:rFonts w:asciiTheme="minorHAnsi" w:hAnsiTheme="minorHAnsi" w:cstheme="minorHAnsi"/>
                <w:b/>
                <w:bCs/>
                <w:color w:val="000000"/>
                <w:sz w:val="22"/>
                <w:szCs w:val="22"/>
              </w:rPr>
              <w:t>RB</w:t>
            </w:r>
            <w:r w:rsidRPr="00D5188C">
              <w:rPr>
                <w:rFonts w:asciiTheme="minorHAnsi" w:eastAsia="Calibri" w:hAnsiTheme="minorHAnsi" w:cstheme="minorHAnsi"/>
                <w:color w:val="000000"/>
                <w:sz w:val="22"/>
                <w:szCs w:val="22"/>
              </w:rPr>
              <w:t xml:space="preserve"> </w:t>
            </w:r>
            <w:hyperlink r:id="rId15" w:history="1">
              <w:r w:rsidRPr="00D5188C">
                <w:rPr>
                  <w:rStyle w:val="Hyperlink"/>
                  <w:rFonts w:asciiTheme="minorHAnsi" w:eastAsia="Calibri" w:hAnsiTheme="minorHAnsi" w:cstheme="minorHAnsi"/>
                  <w:sz w:val="22"/>
                  <w:szCs w:val="22"/>
                </w:rPr>
                <w:t>Supervision and Regulation - Vice Chair for Supervision Michelle W. Bowman</w:t>
              </w:r>
            </w:hyperlink>
            <w:r w:rsidRPr="00D5188C">
              <w:rPr>
                <w:rFonts w:asciiTheme="minorHAnsi" w:eastAsia="Calibri" w:hAnsiTheme="minorHAnsi" w:cstheme="minorHAnsi"/>
                <w:color w:val="000000"/>
                <w:sz w:val="22"/>
                <w:szCs w:val="22"/>
              </w:rPr>
              <w:t xml:space="preserve"> (1</w:t>
            </w:r>
            <w:r w:rsidRPr="00D5188C">
              <w:rPr>
                <w:rFonts w:asciiTheme="minorHAnsi" w:hAnsiTheme="minorHAnsi" w:cstheme="minorHAnsi"/>
                <w:color w:val="000000"/>
                <w:sz w:val="22"/>
                <w:szCs w:val="22"/>
              </w:rPr>
              <w:t>2</w:t>
            </w:r>
            <w:r w:rsidRPr="00D5188C">
              <w:rPr>
                <w:rFonts w:asciiTheme="minorHAnsi" w:eastAsia="Calibri" w:hAnsiTheme="minorHAnsi" w:cstheme="minorHAnsi"/>
                <w:color w:val="000000"/>
                <w:sz w:val="22"/>
                <w:szCs w:val="22"/>
              </w:rPr>
              <w:t>/02/2025) –</w:t>
            </w:r>
            <w:r w:rsidRPr="00D5188C">
              <w:rPr>
                <w:rFonts w:asciiTheme="minorHAnsi" w:hAnsiTheme="minorHAnsi" w:cstheme="minorHAnsi"/>
                <w:sz w:val="22"/>
                <w:szCs w:val="22"/>
              </w:rPr>
              <w:t xml:space="preserve"> </w:t>
            </w:r>
            <w:r w:rsidRPr="00D96FF3">
              <w:rPr>
                <w:rFonts w:asciiTheme="minorHAnsi" w:hAnsiTheme="minorHAnsi" w:cstheme="minorHAnsi"/>
                <w:i/>
                <w:iCs/>
                <w:sz w:val="22"/>
                <w:szCs w:val="22"/>
              </w:rPr>
              <w:t>Prioritizing Community Banking Issues - One of the Federal Reserve's goals is to tailor our regulatory and supervisory framework to accurately reflect the risk that different banks pose to the financial system. Community banks are subject to less stringent standards than large banks, but there remains more opportunity to tailor regulations and supervision to the unique needs and circumstances of these banks. We cannot continue to push policies and supervisory expectations designed for the largest banks down to smaller, less risky, and less complex banks.</w:t>
            </w:r>
          </w:p>
          <w:p w14:paraId="7F2C6744" w14:textId="77777777" w:rsidR="00286BD0" w:rsidRPr="00D96FF3" w:rsidRDefault="00286BD0" w:rsidP="00985302">
            <w:pPr>
              <w:pStyle w:val="NormalWeb"/>
              <w:shd w:val="clear" w:color="auto" w:fill="FFFFFF"/>
              <w:rPr>
                <w:rFonts w:asciiTheme="minorHAnsi" w:hAnsiTheme="minorHAnsi" w:cstheme="minorHAnsi"/>
                <w:i/>
                <w:iCs/>
                <w:sz w:val="22"/>
                <w:szCs w:val="22"/>
              </w:rPr>
            </w:pPr>
          </w:p>
          <w:p w14:paraId="65829250" w14:textId="77777777" w:rsidR="00286BD0" w:rsidRPr="00D96FF3" w:rsidRDefault="00286BD0" w:rsidP="00985302">
            <w:pPr>
              <w:pStyle w:val="NormalWeb"/>
              <w:shd w:val="clear" w:color="auto" w:fill="FFFFFF"/>
              <w:rPr>
                <w:rFonts w:asciiTheme="minorHAnsi" w:hAnsiTheme="minorHAnsi" w:cstheme="minorHAnsi"/>
                <w:i/>
                <w:iCs/>
                <w:sz w:val="22"/>
                <w:szCs w:val="22"/>
              </w:rPr>
            </w:pPr>
            <w:r w:rsidRPr="00D96FF3">
              <w:rPr>
                <w:rFonts w:asciiTheme="minorHAnsi" w:hAnsiTheme="minorHAnsi" w:cstheme="minorHAnsi"/>
                <w:i/>
                <w:iCs/>
                <w:sz w:val="22"/>
                <w:szCs w:val="22"/>
              </w:rPr>
              <w:t>In this regard, I support efforts by Congress to reduce burden on community banks. I support increasing static and outdated statutory thresholds, including asset thresholds, that have not been updated for years. Asset growth due, in part, to inflation over time has resulted in small banks becoming subject to laws and regulations that were intended for much larger banks. I also support improvements to the Bank Secrecy Act and anti-money-laundering framework that will assist law enforcement while minimizing unnecessary regulatory burden that disproportionately falls on community banks. As an example, the thresholds for Currency Transaction Reports (CTRs) and Suspicious Activity Reports (SARs) have not been adjusted since they were established, despite decades of significant growth in the economy and financial system. These thresholds should be updated to more effectively focus resources on those transactions and activities that truly are suspicious.</w:t>
            </w:r>
          </w:p>
          <w:p w14:paraId="5D33F595" w14:textId="77777777" w:rsidR="00286BD0" w:rsidRPr="00D96FF3" w:rsidRDefault="00286BD0" w:rsidP="00985302">
            <w:pPr>
              <w:pStyle w:val="NormalWeb"/>
              <w:shd w:val="clear" w:color="auto" w:fill="FFFFFF"/>
              <w:rPr>
                <w:rFonts w:asciiTheme="minorHAnsi" w:hAnsiTheme="minorHAnsi" w:cstheme="minorHAnsi"/>
                <w:i/>
                <w:iCs/>
                <w:sz w:val="22"/>
                <w:szCs w:val="22"/>
              </w:rPr>
            </w:pPr>
          </w:p>
          <w:p w14:paraId="2D612BE6" w14:textId="77777777" w:rsidR="00286BD0" w:rsidRPr="00D96FF3" w:rsidRDefault="00286BD0" w:rsidP="00985302">
            <w:pPr>
              <w:pStyle w:val="NormalWeb"/>
              <w:shd w:val="clear" w:color="auto" w:fill="FFFFFF"/>
              <w:rPr>
                <w:rFonts w:asciiTheme="minorHAnsi" w:hAnsiTheme="minorHAnsi" w:cstheme="minorHAnsi"/>
                <w:i/>
                <w:iCs/>
                <w:sz w:val="22"/>
                <w:szCs w:val="22"/>
              </w:rPr>
            </w:pPr>
            <w:r w:rsidRPr="00D96FF3">
              <w:rPr>
                <w:rFonts w:asciiTheme="minorHAnsi" w:hAnsiTheme="minorHAnsi" w:cstheme="minorHAnsi"/>
                <w:i/>
                <w:iCs/>
                <w:sz w:val="22"/>
                <w:szCs w:val="22"/>
              </w:rPr>
              <w:t xml:space="preserve">Where possible, the Federal Reserve is taking its own actions to further tailor regulatory and supervisory measures to support community banks in more effectively serving their customers and communities. We recently proposed changes to the community bank leverage ratio to provide community </w:t>
            </w:r>
            <w:proofErr w:type="gramStart"/>
            <w:r w:rsidRPr="00D96FF3">
              <w:rPr>
                <w:rFonts w:asciiTheme="minorHAnsi" w:hAnsiTheme="minorHAnsi" w:cstheme="minorHAnsi"/>
                <w:i/>
                <w:iCs/>
                <w:sz w:val="22"/>
                <w:szCs w:val="22"/>
              </w:rPr>
              <w:t>banks</w:t>
            </w:r>
            <w:proofErr w:type="gramEnd"/>
            <w:r w:rsidRPr="00D96FF3">
              <w:rPr>
                <w:rFonts w:asciiTheme="minorHAnsi" w:hAnsiTheme="minorHAnsi" w:cstheme="minorHAnsi"/>
                <w:i/>
                <w:iCs/>
                <w:sz w:val="22"/>
                <w:szCs w:val="22"/>
              </w:rPr>
              <w:t xml:space="preserve"> greater flexibility and optionality in their capital framework while preserving safety and soundness and the capital strength of the banking system. This enables community banks to focus on their core mission: stimulating economic growth and activity through lending to households and businesses. We also recently released new capital options for mutual banks, including capital instruments that could qualify as tier 1 common equity or as additional tier 1 equity. We are open to further refinement of these options and look forward to feedback.</w:t>
            </w:r>
          </w:p>
          <w:p w14:paraId="03DDD712" w14:textId="77777777" w:rsidR="00286BD0" w:rsidRPr="00D96FF3" w:rsidRDefault="00286BD0" w:rsidP="00985302">
            <w:pPr>
              <w:pStyle w:val="NormalWeb"/>
              <w:shd w:val="clear" w:color="auto" w:fill="FFFFFF"/>
              <w:rPr>
                <w:rFonts w:asciiTheme="minorHAnsi" w:hAnsiTheme="minorHAnsi" w:cstheme="minorHAnsi"/>
                <w:i/>
                <w:iCs/>
                <w:sz w:val="22"/>
                <w:szCs w:val="22"/>
              </w:rPr>
            </w:pPr>
          </w:p>
          <w:p w14:paraId="70909013" w14:textId="77777777" w:rsidR="00286BD0" w:rsidRPr="00D96FF3" w:rsidRDefault="00286BD0" w:rsidP="00985302">
            <w:pPr>
              <w:pStyle w:val="NormalWeb"/>
              <w:shd w:val="clear" w:color="auto" w:fill="FFFFFF"/>
              <w:rPr>
                <w:rFonts w:asciiTheme="minorHAnsi" w:hAnsiTheme="minorHAnsi" w:cstheme="minorHAnsi"/>
                <w:i/>
                <w:iCs/>
                <w:sz w:val="22"/>
                <w:szCs w:val="22"/>
              </w:rPr>
            </w:pPr>
            <w:r w:rsidRPr="00D96FF3">
              <w:rPr>
                <w:rFonts w:asciiTheme="minorHAnsi" w:hAnsiTheme="minorHAnsi" w:cstheme="minorHAnsi"/>
                <w:i/>
                <w:iCs/>
                <w:sz w:val="22"/>
                <w:szCs w:val="22"/>
              </w:rPr>
              <w:t>It is also time to more effectively tailor the merger and acquisition (M&amp;A) and de novo chartering application processes for community banks. We are exploring streamlining these processes and updating the Federal Reserve Board's (Board's) merger analysis to accurately consider competition among small banks. Now is the time to build a framework for community banks that recognizes their unique strengths and supports their critical role in providing financial services to businesses and families throughout the United States.</w:t>
            </w:r>
          </w:p>
          <w:p w14:paraId="74F40E21" w14:textId="77777777" w:rsidR="00286BD0" w:rsidRPr="00D96FF3" w:rsidRDefault="00286BD0" w:rsidP="00985302">
            <w:pPr>
              <w:pStyle w:val="NormalWeb"/>
              <w:shd w:val="clear" w:color="auto" w:fill="FFFFFF"/>
              <w:rPr>
                <w:rFonts w:asciiTheme="minorHAnsi" w:hAnsiTheme="minorHAnsi" w:cstheme="minorHAnsi"/>
                <w:i/>
                <w:iCs/>
                <w:sz w:val="22"/>
                <w:szCs w:val="22"/>
              </w:rPr>
            </w:pPr>
          </w:p>
          <w:p w14:paraId="0B04B962" w14:textId="1FED7418" w:rsidR="00286BD0" w:rsidRPr="00314343" w:rsidRDefault="00286BD0" w:rsidP="00985302">
            <w:pPr>
              <w:pStyle w:val="NormalWeb"/>
              <w:shd w:val="clear" w:color="auto" w:fill="FFFFFF"/>
              <w:rPr>
                <w:rFonts w:asciiTheme="minorHAnsi" w:eastAsia="Calibri" w:hAnsiTheme="minorHAnsi" w:cstheme="minorHAnsi"/>
                <w:i/>
                <w:iCs/>
                <w:color w:val="000000"/>
                <w:sz w:val="22"/>
                <w:szCs w:val="22"/>
              </w:rPr>
            </w:pPr>
            <w:r w:rsidRPr="00D96FF3">
              <w:rPr>
                <w:rFonts w:asciiTheme="minorHAnsi" w:hAnsiTheme="minorHAnsi" w:cstheme="minorHAnsi"/>
                <w:i/>
                <w:iCs/>
                <w:sz w:val="22"/>
                <w:szCs w:val="22"/>
              </w:rPr>
              <w:t xml:space="preserve">Effective regulatory frameworks are an essential operational foundation for our ability to effectively supervise financial institutions. We are in the process of conducting our third </w:t>
            </w:r>
            <w:r w:rsidRPr="00D96FF3">
              <w:rPr>
                <w:rFonts w:asciiTheme="minorHAnsi" w:hAnsiTheme="minorHAnsi" w:cstheme="minorHAnsi"/>
                <w:i/>
                <w:iCs/>
                <w:sz w:val="22"/>
                <w:szCs w:val="22"/>
              </w:rPr>
              <w:lastRenderedPageBreak/>
              <w:t>Economic Growth and Regulatory Paperwork Reduction Act (EGRPRA) review to eliminate outdated, unnecessary, or overly burdensome rules. My expectation is that—unlike previous EGRPRA reviews—this review will create substantive change. This type of regular assessment should be an ongoing aspect of our work. A proactive approach will ensure that regulations are responsive and adaptable to the evolving needs of, and conditions in, the banking sector.</w:t>
            </w:r>
          </w:p>
        </w:tc>
      </w:tr>
      <w:tr w:rsidR="00286BD0" w:rsidRPr="00D5188C" w14:paraId="11F0DE8E" w14:textId="77777777" w:rsidTr="00985302">
        <w:tc>
          <w:tcPr>
            <w:tcW w:w="985" w:type="dxa"/>
          </w:tcPr>
          <w:p w14:paraId="307797FF" w14:textId="77777777" w:rsidR="00286BD0" w:rsidRPr="00B7191D" w:rsidRDefault="00286BD0" w:rsidP="00985302">
            <w:pPr>
              <w:tabs>
                <w:tab w:val="left" w:pos="580"/>
              </w:tabs>
              <w:rPr>
                <w:rFonts w:cstheme="minorHAnsi"/>
                <w:lang w:val="fr-FR"/>
              </w:rPr>
            </w:pPr>
          </w:p>
        </w:tc>
        <w:tc>
          <w:tcPr>
            <w:tcW w:w="8365" w:type="dxa"/>
            <w:shd w:val="clear" w:color="auto" w:fill="FFFFFF" w:themeFill="background1"/>
          </w:tcPr>
          <w:p w14:paraId="770EE840" w14:textId="77777777" w:rsidR="00286BD0" w:rsidRPr="00B7191D" w:rsidRDefault="00286BD0" w:rsidP="00985302">
            <w:pPr>
              <w:pStyle w:val="NormalWeb"/>
              <w:shd w:val="clear" w:color="auto" w:fill="FFFFFF"/>
              <w:rPr>
                <w:rFonts w:asciiTheme="minorHAnsi" w:eastAsia="Calibri" w:hAnsiTheme="minorHAnsi" w:cstheme="minorHAnsi"/>
                <w:b/>
                <w:bCs/>
                <w:color w:val="000000"/>
                <w:sz w:val="22"/>
                <w:szCs w:val="22"/>
                <w:lang w:val="fr-FR"/>
              </w:rPr>
            </w:pPr>
          </w:p>
        </w:tc>
      </w:tr>
      <w:tr w:rsidR="00286BD0" w:rsidRPr="00B7191D" w14:paraId="4981650E" w14:textId="77777777" w:rsidTr="00985302">
        <w:tc>
          <w:tcPr>
            <w:tcW w:w="985" w:type="dxa"/>
            <w:shd w:val="clear" w:color="auto" w:fill="FFFF00"/>
          </w:tcPr>
          <w:p w14:paraId="6096B870" w14:textId="77777777" w:rsidR="00286BD0" w:rsidRPr="00B7191D" w:rsidRDefault="00286BD0" w:rsidP="00985302">
            <w:pPr>
              <w:tabs>
                <w:tab w:val="left" w:pos="580"/>
              </w:tabs>
              <w:rPr>
                <w:rFonts w:cstheme="minorHAnsi"/>
                <w:lang w:val="fr-FR"/>
              </w:rPr>
            </w:pPr>
          </w:p>
        </w:tc>
        <w:tc>
          <w:tcPr>
            <w:tcW w:w="8365" w:type="dxa"/>
            <w:shd w:val="clear" w:color="auto" w:fill="FFFFFF" w:themeFill="background1"/>
          </w:tcPr>
          <w:p w14:paraId="112E8C23" w14:textId="77777777" w:rsidR="00286BD0" w:rsidRPr="00D24854" w:rsidRDefault="00286BD0" w:rsidP="00985302">
            <w:pPr>
              <w:pStyle w:val="NormalWeb"/>
              <w:shd w:val="clear" w:color="auto" w:fill="FFFFFF"/>
              <w:rPr>
                <w:rFonts w:asciiTheme="minorHAnsi" w:eastAsia="Times New Roman" w:hAnsiTheme="minorHAnsi" w:cstheme="minorHAnsi"/>
                <w:color w:val="1B1B1B"/>
                <w:sz w:val="22"/>
                <w:szCs w:val="22"/>
              </w:rPr>
            </w:pPr>
            <w:r w:rsidRPr="00D24854">
              <w:rPr>
                <w:rFonts w:asciiTheme="minorHAnsi" w:eastAsia="Calibri" w:hAnsiTheme="minorHAnsi" w:cstheme="minorHAnsi"/>
                <w:b/>
                <w:bCs/>
                <w:color w:val="000000"/>
                <w:sz w:val="22"/>
                <w:szCs w:val="22"/>
              </w:rPr>
              <w:t>OCC</w:t>
            </w:r>
            <w:r w:rsidRPr="00D24854">
              <w:rPr>
                <w:rFonts w:asciiTheme="minorHAnsi" w:eastAsia="Calibri" w:hAnsiTheme="minorHAnsi" w:cstheme="minorHAnsi"/>
                <w:color w:val="000000"/>
                <w:sz w:val="22"/>
                <w:szCs w:val="22"/>
              </w:rPr>
              <w:t xml:space="preserve"> </w:t>
            </w:r>
            <w:hyperlink r:id="rId16" w:history="1">
              <w:r w:rsidRPr="00D24854">
                <w:rPr>
                  <w:rStyle w:val="Hyperlink"/>
                  <w:rFonts w:asciiTheme="minorHAnsi" w:eastAsia="Calibri" w:hAnsiTheme="minorHAnsi" w:cstheme="minorHAnsi"/>
                  <w:sz w:val="22"/>
                  <w:szCs w:val="22"/>
                </w:rPr>
                <w:t>Maintains Assessment Rates for National Banks and Federal Savings Associations</w:t>
              </w:r>
            </w:hyperlink>
            <w:r w:rsidRPr="00D24854">
              <w:rPr>
                <w:rFonts w:asciiTheme="minorHAnsi" w:eastAsia="Calibri" w:hAnsiTheme="minorHAnsi" w:cstheme="minorHAnsi"/>
                <w:color w:val="000000"/>
                <w:sz w:val="22"/>
                <w:szCs w:val="22"/>
              </w:rPr>
              <w:t xml:space="preserve"> (12/01/2025) –</w:t>
            </w:r>
            <w:r w:rsidRPr="00D24854">
              <w:rPr>
                <w:rFonts w:asciiTheme="minorHAnsi" w:hAnsiTheme="minorHAnsi" w:cstheme="minorHAnsi"/>
                <w:sz w:val="22"/>
                <w:szCs w:val="22"/>
              </w:rPr>
              <w:t xml:space="preserve"> </w:t>
            </w:r>
            <w:r w:rsidRPr="00D24854">
              <w:rPr>
                <w:rFonts w:asciiTheme="minorHAnsi" w:eastAsia="Times New Roman" w:hAnsiTheme="minorHAnsi" w:cstheme="minorHAnsi"/>
                <w:color w:val="1B1B1B"/>
                <w:sz w:val="22"/>
                <w:szCs w:val="22"/>
              </w:rPr>
              <w:t>WASHINGTON—The Office of the Comptroller of the Currency (OCC) announced that it is maintaining assessment rates for the 2026 Calendar Year.</w:t>
            </w:r>
          </w:p>
          <w:p w14:paraId="41C2E053" w14:textId="77777777" w:rsidR="00286BD0" w:rsidRPr="00D24854" w:rsidRDefault="00286BD0" w:rsidP="00985302">
            <w:pPr>
              <w:shd w:val="clear" w:color="auto" w:fill="FFFFFF"/>
              <w:spacing w:before="100" w:beforeAutospacing="1" w:after="100" w:afterAutospacing="1"/>
              <w:rPr>
                <w:rFonts w:eastAsia="Times New Roman" w:cstheme="minorHAnsi"/>
                <w:color w:val="1B1B1B"/>
              </w:rPr>
            </w:pPr>
            <w:r w:rsidRPr="00D24854">
              <w:rPr>
                <w:rFonts w:eastAsia="Times New Roman" w:cstheme="minorHAnsi"/>
                <w:color w:val="1B1B1B"/>
              </w:rPr>
              <w:t xml:space="preserve">OCC-regulated institutions will continue to benefit from the decrease in assessment rates that the agency made as recently as September 2025. For </w:t>
            </w:r>
            <w:proofErr w:type="gramStart"/>
            <w:r w:rsidRPr="00D24854">
              <w:rPr>
                <w:rFonts w:eastAsia="Times New Roman" w:cstheme="minorHAnsi"/>
                <w:color w:val="1B1B1B"/>
              </w:rPr>
              <w:t>the September</w:t>
            </w:r>
            <w:proofErr w:type="gramEnd"/>
            <w:r w:rsidRPr="00D24854">
              <w:rPr>
                <w:rFonts w:eastAsia="Times New Roman" w:cstheme="minorHAnsi"/>
                <w:color w:val="1B1B1B"/>
              </w:rPr>
              <w:t xml:space="preserve"> 30, 2025, semiannual assessment, the OCC reduced the rates in the general assessment fee schedule by 30 percent for assets up to $40 billion and 22 percent for assets above $40 billion and reduced the rates in the independent trust and independent credit card assessment fee schedules by 22 percent.</w:t>
            </w:r>
          </w:p>
          <w:p w14:paraId="6C24A02C" w14:textId="77777777" w:rsidR="00286BD0" w:rsidRPr="00D24854" w:rsidRDefault="00286BD0" w:rsidP="00985302">
            <w:pPr>
              <w:shd w:val="clear" w:color="auto" w:fill="FFFFFF"/>
              <w:spacing w:before="100" w:beforeAutospacing="1" w:after="100" w:afterAutospacing="1"/>
              <w:rPr>
                <w:rFonts w:eastAsia="Times New Roman" w:cstheme="minorHAnsi"/>
                <w:color w:val="1B1B1B"/>
              </w:rPr>
            </w:pPr>
            <w:r w:rsidRPr="00D24854">
              <w:rPr>
                <w:rFonts w:eastAsia="Times New Roman" w:cstheme="minorHAnsi"/>
                <w:color w:val="1B1B1B"/>
              </w:rPr>
              <w:t>The 2026 assessment rates will provide the OCC with sufficient resources to ensure a well-trained staff that keeps up with emerging trends and embraces new technologies in performing the agency’s important mission to maintain the safety and soundness of the federal banking system.</w:t>
            </w:r>
          </w:p>
          <w:p w14:paraId="5421B7E3" w14:textId="77777777" w:rsidR="00286BD0" w:rsidRPr="00D24854" w:rsidRDefault="00286BD0" w:rsidP="00985302">
            <w:pPr>
              <w:shd w:val="clear" w:color="auto" w:fill="FFFFFF"/>
              <w:spacing w:before="100" w:beforeAutospacing="1" w:after="100" w:afterAutospacing="1"/>
              <w:rPr>
                <w:rFonts w:eastAsia="Times New Roman" w:cstheme="minorHAnsi"/>
                <w:color w:val="1B1B1B"/>
              </w:rPr>
            </w:pPr>
            <w:r w:rsidRPr="00D24854">
              <w:rPr>
                <w:rFonts w:eastAsia="Times New Roman" w:cstheme="minorHAnsi"/>
                <w:color w:val="1B1B1B"/>
              </w:rPr>
              <w:t>The calendar year 2026 assessment rates will be in effect as of January 1, 2026, and will be reflected in assessments paid on March 31, 2026, and September 30, 2026.</w:t>
            </w:r>
          </w:p>
          <w:p w14:paraId="2C985BB4" w14:textId="77777777" w:rsidR="00286BD0" w:rsidRPr="00D24854" w:rsidRDefault="00286BD0" w:rsidP="00985302">
            <w:pPr>
              <w:shd w:val="clear" w:color="auto" w:fill="FFFFFF"/>
              <w:spacing w:before="240" w:after="132"/>
              <w:outlineLvl w:val="1"/>
              <w:rPr>
                <w:rFonts w:eastAsia="Times New Roman" w:cstheme="minorHAnsi"/>
                <w:color w:val="1B1B1B"/>
              </w:rPr>
            </w:pPr>
            <w:r w:rsidRPr="00D24854">
              <w:rPr>
                <w:rFonts w:eastAsia="Times New Roman" w:cstheme="minorHAnsi"/>
                <w:color w:val="1B1B1B"/>
              </w:rPr>
              <w:t>Related Link</w:t>
            </w:r>
          </w:p>
          <w:p w14:paraId="6C02D2DE" w14:textId="77777777" w:rsidR="00286BD0" w:rsidRPr="00D24854" w:rsidRDefault="00286BD0" w:rsidP="00286BD0">
            <w:pPr>
              <w:numPr>
                <w:ilvl w:val="0"/>
                <w:numId w:val="31"/>
              </w:numPr>
              <w:shd w:val="clear" w:color="auto" w:fill="FFFFFF"/>
              <w:spacing w:before="100" w:beforeAutospacing="1" w:after="100" w:afterAutospacing="1"/>
              <w:rPr>
                <w:rFonts w:eastAsia="Times New Roman" w:cstheme="minorHAnsi"/>
                <w:color w:val="1B1B1B"/>
              </w:rPr>
            </w:pPr>
            <w:hyperlink r:id="rId17" w:tooltip="Office of the Comptroller of the Currency Fees and Assessments" w:history="1">
              <w:r w:rsidRPr="00D24854">
                <w:rPr>
                  <w:rFonts w:eastAsia="Times New Roman" w:cstheme="minorHAnsi"/>
                  <w:color w:val="205493"/>
                  <w:u w:val="single"/>
                </w:rPr>
                <w:t>Schedule</w:t>
              </w:r>
            </w:hyperlink>
          </w:p>
          <w:p w14:paraId="67BFF0AF" w14:textId="4B4E8FBF" w:rsidR="00286BD0" w:rsidRPr="00314343" w:rsidRDefault="00286BD0" w:rsidP="00314343">
            <w:pPr>
              <w:rPr>
                <w:rFonts w:eastAsia="Aptos" w:cstheme="minorHAnsi"/>
                <w:b/>
                <w:bCs/>
                <w:i/>
                <w:iCs/>
                <w:color w:val="002060"/>
              </w:rPr>
            </w:pPr>
            <w:r w:rsidRPr="00D61484">
              <w:rPr>
                <w:rFonts w:eastAsia="Aptos" w:cstheme="minorHAnsi"/>
                <w:b/>
                <w:bCs/>
                <w:i/>
                <w:iCs/>
                <w:color w:val="002060"/>
              </w:rPr>
              <w:t xml:space="preserve">Comment: </w:t>
            </w:r>
            <w:r w:rsidRPr="00D96FF3">
              <w:rPr>
                <w:rFonts w:eastAsia="Aptos" w:cstheme="minorHAnsi"/>
                <w:b/>
                <w:bCs/>
                <w:i/>
                <w:iCs/>
                <w:color w:val="002060"/>
              </w:rPr>
              <w:t>The current assessment rates, which were lowered in September 2025 (by 30% for smaller banks, 22% for larger banks, and 22% for trust/credit card fees)</w:t>
            </w:r>
            <w:r>
              <w:rPr>
                <w:rFonts w:eastAsia="Aptos" w:cstheme="minorHAnsi"/>
                <w:b/>
                <w:bCs/>
                <w:i/>
                <w:iCs/>
                <w:color w:val="002060"/>
              </w:rPr>
              <w:t xml:space="preserve"> will be maintained for 2026.</w:t>
            </w:r>
            <w:r>
              <w:t xml:space="preserve"> These </w:t>
            </w:r>
            <w:r w:rsidRPr="00D96FF3">
              <w:rPr>
                <w:rFonts w:eastAsia="Aptos" w:cstheme="minorHAnsi"/>
                <w:b/>
                <w:bCs/>
                <w:i/>
                <w:iCs/>
                <w:color w:val="002060"/>
              </w:rPr>
              <w:t>rates are effective January 1, 2026, and will appear in the semiannual payments due March 31, 2026, and September 30, 2026.</w:t>
            </w:r>
          </w:p>
        </w:tc>
      </w:tr>
      <w:tr w:rsidR="00286BD0" w:rsidRPr="00B7191D" w14:paraId="139507B7" w14:textId="77777777" w:rsidTr="00985302">
        <w:tc>
          <w:tcPr>
            <w:tcW w:w="985" w:type="dxa"/>
          </w:tcPr>
          <w:p w14:paraId="040EB11E" w14:textId="77777777" w:rsidR="00286BD0" w:rsidRPr="00D96FF3" w:rsidRDefault="00286BD0" w:rsidP="00985302">
            <w:pPr>
              <w:tabs>
                <w:tab w:val="left" w:pos="580"/>
              </w:tabs>
              <w:rPr>
                <w:rFonts w:cstheme="minorHAnsi"/>
              </w:rPr>
            </w:pPr>
          </w:p>
        </w:tc>
        <w:tc>
          <w:tcPr>
            <w:tcW w:w="8365" w:type="dxa"/>
            <w:shd w:val="clear" w:color="auto" w:fill="FFFFFF" w:themeFill="background1"/>
          </w:tcPr>
          <w:p w14:paraId="42AD7602" w14:textId="77777777" w:rsidR="00286BD0" w:rsidRPr="00D96FF3" w:rsidRDefault="00286BD0" w:rsidP="00985302">
            <w:pPr>
              <w:pStyle w:val="NormalWeb"/>
              <w:shd w:val="clear" w:color="auto" w:fill="FFFFFF"/>
              <w:rPr>
                <w:rFonts w:asciiTheme="minorHAnsi" w:eastAsia="Calibri" w:hAnsiTheme="minorHAnsi" w:cstheme="minorHAnsi"/>
                <w:b/>
                <w:bCs/>
                <w:color w:val="000000"/>
                <w:sz w:val="22"/>
                <w:szCs w:val="22"/>
              </w:rPr>
            </w:pPr>
          </w:p>
        </w:tc>
      </w:tr>
      <w:tr w:rsidR="00286BD0" w:rsidRPr="00B7191D" w14:paraId="60916757" w14:textId="77777777" w:rsidTr="00985302">
        <w:tc>
          <w:tcPr>
            <w:tcW w:w="985" w:type="dxa"/>
            <w:shd w:val="clear" w:color="auto" w:fill="FFFF00"/>
          </w:tcPr>
          <w:p w14:paraId="5755BAEA" w14:textId="77777777" w:rsidR="00286BD0" w:rsidRPr="00D96FF3" w:rsidRDefault="00286BD0" w:rsidP="00985302">
            <w:pPr>
              <w:tabs>
                <w:tab w:val="left" w:pos="580"/>
              </w:tabs>
              <w:rPr>
                <w:rFonts w:cstheme="minorHAnsi"/>
              </w:rPr>
            </w:pPr>
          </w:p>
        </w:tc>
        <w:tc>
          <w:tcPr>
            <w:tcW w:w="8365" w:type="dxa"/>
            <w:shd w:val="clear" w:color="auto" w:fill="FFFFFF" w:themeFill="background1"/>
          </w:tcPr>
          <w:p w14:paraId="0EF08F22" w14:textId="77777777" w:rsidR="00286BD0" w:rsidRDefault="00286BD0" w:rsidP="00985302">
            <w:pPr>
              <w:pStyle w:val="NormalWeb"/>
              <w:shd w:val="clear" w:color="auto" w:fill="FFFFFF"/>
              <w:rPr>
                <w:rFonts w:asciiTheme="minorHAnsi" w:hAnsiTheme="minorHAnsi" w:cstheme="minorHAnsi"/>
                <w:sz w:val="22"/>
                <w:szCs w:val="22"/>
              </w:rPr>
            </w:pPr>
            <w:r>
              <w:rPr>
                <w:rFonts w:asciiTheme="minorHAnsi" w:eastAsia="Calibri" w:hAnsiTheme="minorHAnsi" w:cstheme="minorHAnsi"/>
                <w:b/>
                <w:bCs/>
                <w:color w:val="000000"/>
                <w:sz w:val="22"/>
                <w:szCs w:val="22"/>
              </w:rPr>
              <w:t>Joint</w:t>
            </w:r>
            <w:r w:rsidRPr="00D61484">
              <w:rPr>
                <w:rFonts w:asciiTheme="minorHAnsi" w:eastAsia="Calibri" w:hAnsiTheme="minorHAnsi" w:cstheme="minorHAnsi"/>
                <w:color w:val="000000"/>
                <w:sz w:val="22"/>
                <w:szCs w:val="22"/>
              </w:rPr>
              <w:t xml:space="preserve"> </w:t>
            </w:r>
            <w:hyperlink r:id="rId18" w:history="1">
              <w:r w:rsidRPr="00A23288">
                <w:rPr>
                  <w:rStyle w:val="Hyperlink"/>
                  <w:rFonts w:asciiTheme="minorHAnsi" w:eastAsia="Calibri" w:hAnsiTheme="minorHAnsi" w:cstheme="minorHAnsi"/>
                  <w:sz w:val="22"/>
                  <w:szCs w:val="22"/>
                </w:rPr>
                <w:t>Streamlining the Consolidated Reports of Condition and Income (Call Report)</w:t>
              </w:r>
            </w:hyperlink>
            <w:r w:rsidRPr="00A23288">
              <w:rPr>
                <w:rFonts w:asciiTheme="minorHAnsi" w:eastAsia="Calibri" w:hAnsiTheme="minorHAnsi" w:cstheme="minorHAnsi"/>
                <w:color w:val="000000"/>
                <w:sz w:val="22"/>
                <w:szCs w:val="22"/>
              </w:rPr>
              <w:t xml:space="preserve"> </w:t>
            </w:r>
            <w:r w:rsidRPr="00D61484">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12</w:t>
            </w:r>
            <w:r w:rsidRPr="00D61484">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01</w:t>
            </w:r>
            <w:r w:rsidRPr="00D61484">
              <w:rPr>
                <w:rFonts w:asciiTheme="minorHAnsi" w:eastAsia="Calibri" w:hAnsiTheme="minorHAnsi" w:cstheme="minorHAnsi"/>
                <w:color w:val="000000"/>
                <w:sz w:val="22"/>
                <w:szCs w:val="22"/>
              </w:rPr>
              <w:t>/2025) –</w:t>
            </w:r>
            <w:r w:rsidRPr="00D61484">
              <w:rPr>
                <w:rFonts w:asciiTheme="minorHAnsi" w:hAnsiTheme="minorHAnsi" w:cstheme="minorHAnsi"/>
                <w:sz w:val="22"/>
                <w:szCs w:val="22"/>
              </w:rPr>
              <w:t xml:space="preserve"> </w:t>
            </w:r>
            <w:r w:rsidRPr="00A23288">
              <w:rPr>
                <w:rFonts w:asciiTheme="minorHAnsi" w:hAnsiTheme="minorHAnsi" w:cstheme="minorHAnsi"/>
                <w:sz w:val="22"/>
                <w:szCs w:val="22"/>
              </w:rPr>
              <w:t>Summary:</w:t>
            </w:r>
            <w:r>
              <w:rPr>
                <w:rFonts w:asciiTheme="minorHAnsi" w:hAnsiTheme="minorHAnsi" w:cstheme="minorHAnsi"/>
                <w:sz w:val="22"/>
                <w:szCs w:val="22"/>
              </w:rPr>
              <w:t xml:space="preserve"> </w:t>
            </w:r>
            <w:r w:rsidRPr="00A23288">
              <w:rPr>
                <w:rFonts w:asciiTheme="minorHAnsi" w:hAnsiTheme="minorHAnsi" w:cstheme="minorHAnsi"/>
                <w:sz w:val="22"/>
                <w:szCs w:val="22"/>
              </w:rPr>
              <w:t>On December 1, 2025, the Office of the Comptroller of the Currency (OCC), the Board of Governors of the Federal Reserve System, and the Federal Deposit Insurance Corporation (collectively, the agencies) published the attached Federal Register notice requesting input on sources of regulatory reporting burden for institutions that file the Call Report.</w:t>
            </w:r>
          </w:p>
          <w:p w14:paraId="3DAFC2F3" w14:textId="77777777" w:rsidR="00286BD0" w:rsidRPr="00A23288" w:rsidRDefault="00286BD0" w:rsidP="00985302">
            <w:pPr>
              <w:pStyle w:val="NormalWeb"/>
              <w:shd w:val="clear" w:color="auto" w:fill="FFFFFF"/>
              <w:rPr>
                <w:rFonts w:asciiTheme="minorHAnsi" w:hAnsiTheme="minorHAnsi" w:cstheme="minorHAnsi"/>
                <w:sz w:val="22"/>
                <w:szCs w:val="22"/>
              </w:rPr>
            </w:pPr>
          </w:p>
          <w:p w14:paraId="1AD6B594" w14:textId="77777777" w:rsidR="00286BD0" w:rsidRPr="00A23288" w:rsidRDefault="00286BD0" w:rsidP="00985302">
            <w:pPr>
              <w:pStyle w:val="NormalWeb"/>
              <w:shd w:val="clear" w:color="auto" w:fill="FFFFFF"/>
              <w:rPr>
                <w:rFonts w:asciiTheme="minorHAnsi" w:hAnsiTheme="minorHAnsi" w:cstheme="minorHAnsi"/>
                <w:sz w:val="22"/>
                <w:szCs w:val="22"/>
              </w:rPr>
            </w:pPr>
            <w:r w:rsidRPr="00A23288">
              <w:rPr>
                <w:rFonts w:asciiTheme="minorHAnsi" w:hAnsiTheme="minorHAnsi" w:cstheme="minorHAnsi"/>
                <w:sz w:val="22"/>
                <w:szCs w:val="22"/>
              </w:rPr>
              <w:t>Statement of Applicability:</w:t>
            </w:r>
          </w:p>
          <w:p w14:paraId="3A00A550" w14:textId="77777777" w:rsidR="00286BD0" w:rsidRDefault="00286BD0" w:rsidP="00985302">
            <w:pPr>
              <w:pStyle w:val="NormalWeb"/>
              <w:shd w:val="clear" w:color="auto" w:fill="FFFFFF"/>
              <w:rPr>
                <w:rFonts w:asciiTheme="minorHAnsi" w:hAnsiTheme="minorHAnsi" w:cstheme="minorHAnsi"/>
                <w:sz w:val="22"/>
                <w:szCs w:val="22"/>
              </w:rPr>
            </w:pPr>
            <w:r w:rsidRPr="00A23288">
              <w:rPr>
                <w:rFonts w:asciiTheme="minorHAnsi" w:hAnsiTheme="minorHAnsi" w:cstheme="minorHAnsi"/>
                <w:sz w:val="22"/>
                <w:szCs w:val="22"/>
              </w:rPr>
              <w:t>The contents of, and material referenced in, this FIL apply to all FDIC-insured financial institutions.</w:t>
            </w:r>
          </w:p>
          <w:p w14:paraId="45D2D0E5" w14:textId="77777777" w:rsidR="00286BD0" w:rsidRPr="00A23288" w:rsidRDefault="00286BD0" w:rsidP="00985302">
            <w:pPr>
              <w:pStyle w:val="NormalWeb"/>
              <w:shd w:val="clear" w:color="auto" w:fill="FFFFFF"/>
              <w:rPr>
                <w:rFonts w:asciiTheme="minorHAnsi" w:hAnsiTheme="minorHAnsi" w:cstheme="minorHAnsi"/>
                <w:sz w:val="22"/>
                <w:szCs w:val="22"/>
              </w:rPr>
            </w:pPr>
          </w:p>
          <w:p w14:paraId="43A4AB12" w14:textId="77777777" w:rsidR="00286BD0" w:rsidRPr="00A23288" w:rsidRDefault="00286BD0" w:rsidP="00985302">
            <w:pPr>
              <w:pStyle w:val="NormalWeb"/>
              <w:shd w:val="clear" w:color="auto" w:fill="FFFFFF"/>
              <w:rPr>
                <w:rFonts w:asciiTheme="minorHAnsi" w:hAnsiTheme="minorHAnsi" w:cstheme="minorHAnsi"/>
                <w:sz w:val="22"/>
                <w:szCs w:val="22"/>
              </w:rPr>
            </w:pPr>
            <w:r w:rsidRPr="00A23288">
              <w:rPr>
                <w:rFonts w:asciiTheme="minorHAnsi" w:hAnsiTheme="minorHAnsi" w:cstheme="minorHAnsi"/>
                <w:sz w:val="22"/>
                <w:szCs w:val="22"/>
              </w:rPr>
              <w:t xml:space="preserve">Distribution: </w:t>
            </w:r>
          </w:p>
          <w:p w14:paraId="1F43AF20" w14:textId="77777777" w:rsidR="00286BD0" w:rsidRPr="00D61484" w:rsidRDefault="00286BD0" w:rsidP="00985302">
            <w:pPr>
              <w:pStyle w:val="NormalWeb"/>
              <w:shd w:val="clear" w:color="auto" w:fill="FFFFFF"/>
              <w:rPr>
                <w:rFonts w:asciiTheme="minorHAnsi" w:eastAsia="Calibri" w:hAnsiTheme="minorHAnsi" w:cstheme="minorHAnsi"/>
                <w:color w:val="000000"/>
                <w:sz w:val="22"/>
                <w:szCs w:val="22"/>
              </w:rPr>
            </w:pPr>
            <w:r w:rsidRPr="00A23288">
              <w:rPr>
                <w:rFonts w:asciiTheme="minorHAnsi" w:hAnsiTheme="minorHAnsi" w:cstheme="minorHAnsi"/>
                <w:sz w:val="22"/>
                <w:szCs w:val="22"/>
              </w:rPr>
              <w:t>FDIC-Insured Financial Institutions.</w:t>
            </w:r>
          </w:p>
          <w:p w14:paraId="02A23373" w14:textId="77777777" w:rsidR="00286BD0" w:rsidRPr="00D61484" w:rsidRDefault="00286BD0" w:rsidP="00985302">
            <w:pPr>
              <w:pStyle w:val="NormalWeb"/>
              <w:shd w:val="clear" w:color="auto" w:fill="FFFFFF"/>
              <w:rPr>
                <w:rFonts w:asciiTheme="minorHAnsi" w:eastAsia="Calibri" w:hAnsiTheme="minorHAnsi" w:cstheme="minorHAnsi"/>
                <w:color w:val="000000"/>
                <w:sz w:val="22"/>
                <w:szCs w:val="22"/>
              </w:rPr>
            </w:pPr>
          </w:p>
          <w:p w14:paraId="423E06A3" w14:textId="6A129B7C" w:rsidR="00286BD0" w:rsidRPr="00314343" w:rsidRDefault="00286BD0" w:rsidP="00985302">
            <w:pPr>
              <w:rPr>
                <w:rFonts w:eastAsia="Aptos" w:cstheme="minorHAnsi"/>
                <w:b/>
                <w:bCs/>
                <w:i/>
                <w:iCs/>
                <w:color w:val="002060"/>
              </w:rPr>
            </w:pPr>
            <w:r w:rsidRPr="00D61484">
              <w:rPr>
                <w:rFonts w:eastAsia="Aptos" w:cstheme="minorHAnsi"/>
                <w:b/>
                <w:bCs/>
                <w:i/>
                <w:iCs/>
                <w:color w:val="002060"/>
              </w:rPr>
              <w:t xml:space="preserve">Comment: </w:t>
            </w:r>
            <w:r>
              <w:rPr>
                <w:rFonts w:eastAsia="Aptos" w:cstheme="minorHAnsi"/>
                <w:b/>
                <w:bCs/>
                <w:i/>
                <w:iCs/>
                <w:color w:val="002060"/>
              </w:rPr>
              <w:t>The agencies appear focused on p</w:t>
            </w:r>
            <w:r w:rsidRPr="00D96FF3">
              <w:rPr>
                <w:rFonts w:eastAsia="Aptos" w:cstheme="minorHAnsi"/>
                <w:b/>
                <w:bCs/>
                <w:i/>
                <w:iCs/>
                <w:color w:val="002060"/>
              </w:rPr>
              <w:t>inpointing resource-intensive or manual sections</w:t>
            </w:r>
            <w:r>
              <w:rPr>
                <w:rFonts w:eastAsia="Aptos" w:cstheme="minorHAnsi"/>
                <w:b/>
                <w:bCs/>
                <w:i/>
                <w:iCs/>
                <w:color w:val="002060"/>
              </w:rPr>
              <w:t xml:space="preserve"> of the report; weighing</w:t>
            </w:r>
            <w:r w:rsidRPr="00D96FF3">
              <w:rPr>
                <w:rFonts w:eastAsia="Aptos" w:cstheme="minorHAnsi"/>
                <w:b/>
                <w:bCs/>
                <w:i/>
                <w:iCs/>
                <w:color w:val="002060"/>
              </w:rPr>
              <w:t xml:space="preserve"> how new tech</w:t>
            </w:r>
            <w:r>
              <w:rPr>
                <w:rFonts w:eastAsia="Aptos" w:cstheme="minorHAnsi"/>
                <w:b/>
                <w:bCs/>
                <w:i/>
                <w:iCs/>
                <w:color w:val="002060"/>
              </w:rPr>
              <w:t xml:space="preserve">nology </w:t>
            </w:r>
            <w:r w:rsidRPr="00D96FF3">
              <w:rPr>
                <w:rFonts w:eastAsia="Aptos" w:cstheme="minorHAnsi"/>
                <w:b/>
                <w:bCs/>
                <w:i/>
                <w:iCs/>
                <w:color w:val="002060"/>
              </w:rPr>
              <w:t>can automate preparation</w:t>
            </w:r>
            <w:r>
              <w:rPr>
                <w:rFonts w:eastAsia="Aptos" w:cstheme="minorHAnsi"/>
                <w:b/>
                <w:bCs/>
                <w:i/>
                <w:iCs/>
                <w:color w:val="002060"/>
              </w:rPr>
              <w:t>; c</w:t>
            </w:r>
            <w:r w:rsidRPr="00D96FF3">
              <w:rPr>
                <w:rFonts w:eastAsia="Aptos" w:cstheme="minorHAnsi"/>
                <w:b/>
                <w:bCs/>
                <w:i/>
                <w:iCs/>
                <w:color w:val="002060"/>
              </w:rPr>
              <w:t>onsider</w:t>
            </w:r>
            <w:r>
              <w:rPr>
                <w:rFonts w:eastAsia="Aptos" w:cstheme="minorHAnsi"/>
                <w:b/>
                <w:bCs/>
                <w:i/>
                <w:iCs/>
                <w:color w:val="002060"/>
              </w:rPr>
              <w:t>ations on</w:t>
            </w:r>
            <w:r w:rsidRPr="00D96FF3">
              <w:rPr>
                <w:rFonts w:eastAsia="Aptos" w:cstheme="minorHAnsi"/>
                <w:b/>
                <w:bCs/>
                <w:i/>
                <w:iCs/>
                <w:color w:val="002060"/>
              </w:rPr>
              <w:t xml:space="preserve"> raising asset thresholds for the simplified FFIEC 051 form</w:t>
            </w:r>
            <w:r>
              <w:rPr>
                <w:rFonts w:eastAsia="Aptos" w:cstheme="minorHAnsi"/>
                <w:b/>
                <w:bCs/>
                <w:i/>
                <w:iCs/>
                <w:color w:val="002060"/>
              </w:rPr>
              <w:t xml:space="preserve">; and </w:t>
            </w:r>
            <w:proofErr w:type="gramStart"/>
            <w:r w:rsidRPr="00D96FF3">
              <w:rPr>
                <w:rFonts w:eastAsia="Aptos" w:cstheme="minorHAnsi"/>
                <w:b/>
                <w:bCs/>
                <w:i/>
                <w:iCs/>
                <w:color w:val="002060"/>
              </w:rPr>
              <w:t>Determining</w:t>
            </w:r>
            <w:proofErr w:type="gramEnd"/>
            <w:r w:rsidRPr="00D96FF3">
              <w:rPr>
                <w:rFonts w:eastAsia="Aptos" w:cstheme="minorHAnsi"/>
                <w:b/>
                <w:bCs/>
                <w:i/>
                <w:iCs/>
                <w:color w:val="002060"/>
              </w:rPr>
              <w:t xml:space="preserve"> if some data is unnecessary or could be collected less frequently.</w:t>
            </w:r>
          </w:p>
        </w:tc>
      </w:tr>
      <w:tr w:rsidR="00286BD0" w:rsidRPr="00B7191D" w14:paraId="23741FC5" w14:textId="77777777" w:rsidTr="00985302">
        <w:tc>
          <w:tcPr>
            <w:tcW w:w="985" w:type="dxa"/>
          </w:tcPr>
          <w:p w14:paraId="4536636D" w14:textId="77777777" w:rsidR="00286BD0" w:rsidRPr="00D96FF3" w:rsidRDefault="00286BD0" w:rsidP="00985302">
            <w:pPr>
              <w:tabs>
                <w:tab w:val="left" w:pos="580"/>
              </w:tabs>
              <w:rPr>
                <w:rFonts w:cstheme="minorHAnsi"/>
              </w:rPr>
            </w:pPr>
          </w:p>
        </w:tc>
        <w:tc>
          <w:tcPr>
            <w:tcW w:w="8365" w:type="dxa"/>
            <w:shd w:val="clear" w:color="auto" w:fill="FFFFFF" w:themeFill="background1"/>
          </w:tcPr>
          <w:p w14:paraId="529118E0" w14:textId="77777777" w:rsidR="00286BD0" w:rsidRDefault="00286BD0" w:rsidP="00985302">
            <w:pPr>
              <w:pStyle w:val="NormalWeb"/>
              <w:shd w:val="clear" w:color="auto" w:fill="FFFFFF"/>
              <w:rPr>
                <w:rFonts w:asciiTheme="minorHAnsi" w:eastAsia="Calibri" w:hAnsiTheme="minorHAnsi" w:cstheme="minorHAnsi"/>
                <w:b/>
                <w:bCs/>
                <w:color w:val="000000"/>
                <w:sz w:val="22"/>
                <w:szCs w:val="22"/>
              </w:rPr>
            </w:pPr>
          </w:p>
        </w:tc>
      </w:tr>
      <w:tr w:rsidR="00286BD0" w:rsidRPr="00B7191D" w14:paraId="0D9C97DD" w14:textId="77777777" w:rsidTr="00985302">
        <w:tc>
          <w:tcPr>
            <w:tcW w:w="985" w:type="dxa"/>
            <w:shd w:val="clear" w:color="auto" w:fill="00B050"/>
          </w:tcPr>
          <w:p w14:paraId="38F38C9A" w14:textId="77777777" w:rsidR="00286BD0" w:rsidRPr="00D96FF3" w:rsidRDefault="00286BD0" w:rsidP="00985302">
            <w:pPr>
              <w:tabs>
                <w:tab w:val="left" w:pos="580"/>
              </w:tabs>
              <w:rPr>
                <w:rFonts w:cstheme="minorHAnsi"/>
              </w:rPr>
            </w:pPr>
          </w:p>
        </w:tc>
        <w:tc>
          <w:tcPr>
            <w:tcW w:w="8365" w:type="dxa"/>
            <w:shd w:val="clear" w:color="auto" w:fill="FFFFFF" w:themeFill="background1"/>
          </w:tcPr>
          <w:p w14:paraId="7265C716" w14:textId="77777777" w:rsidR="00286BD0" w:rsidRPr="00242568" w:rsidRDefault="00286BD0" w:rsidP="00985302">
            <w:pPr>
              <w:pStyle w:val="NormalWeb"/>
              <w:shd w:val="clear" w:color="auto" w:fill="FFFFFF"/>
              <w:spacing w:after="150"/>
              <w:rPr>
                <w:rFonts w:asciiTheme="minorHAnsi" w:eastAsia="Times New Roman" w:hAnsiTheme="minorHAnsi" w:cstheme="minorHAnsi"/>
                <w:color w:val="333333"/>
                <w:sz w:val="22"/>
                <w:szCs w:val="22"/>
              </w:rPr>
            </w:pPr>
            <w:r w:rsidRPr="00242568">
              <w:rPr>
                <w:rFonts w:asciiTheme="minorHAnsi" w:eastAsia="Calibri" w:hAnsiTheme="minorHAnsi" w:cstheme="minorHAnsi"/>
                <w:b/>
                <w:bCs/>
                <w:color w:val="000000"/>
                <w:sz w:val="22"/>
                <w:szCs w:val="22"/>
              </w:rPr>
              <w:t>FRB</w:t>
            </w:r>
            <w:r w:rsidRPr="00242568">
              <w:rPr>
                <w:rFonts w:asciiTheme="minorHAnsi" w:eastAsia="Calibri" w:hAnsiTheme="minorHAnsi" w:cstheme="minorHAnsi"/>
                <w:color w:val="000000"/>
                <w:sz w:val="22"/>
                <w:szCs w:val="22"/>
              </w:rPr>
              <w:t xml:space="preserve"> </w:t>
            </w:r>
            <w:hyperlink r:id="rId19" w:history="1">
              <w:r w:rsidRPr="00242568">
                <w:rPr>
                  <w:rStyle w:val="Hyperlink"/>
                  <w:rFonts w:asciiTheme="minorHAnsi" w:eastAsia="Calibri" w:hAnsiTheme="minorHAnsi" w:cstheme="minorHAnsi"/>
                  <w:sz w:val="22"/>
                  <w:szCs w:val="22"/>
                </w:rPr>
                <w:t>Supervision and Regulation Report</w:t>
              </w:r>
            </w:hyperlink>
            <w:r w:rsidRPr="00242568">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rPr>
              <w:t>12</w:t>
            </w:r>
            <w:r w:rsidRPr="00242568">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01</w:t>
            </w:r>
            <w:r w:rsidRPr="00242568">
              <w:rPr>
                <w:rFonts w:asciiTheme="minorHAnsi" w:eastAsia="Calibri" w:hAnsiTheme="minorHAnsi" w:cstheme="minorHAnsi"/>
                <w:color w:val="000000"/>
                <w:sz w:val="22"/>
                <w:szCs w:val="22"/>
              </w:rPr>
              <w:t>/2025) –</w:t>
            </w:r>
            <w:r w:rsidRPr="00242568">
              <w:rPr>
                <w:rFonts w:asciiTheme="minorHAnsi" w:hAnsiTheme="minorHAnsi" w:cstheme="minorHAnsi"/>
                <w:sz w:val="22"/>
                <w:szCs w:val="22"/>
              </w:rPr>
              <w:t xml:space="preserve"> </w:t>
            </w:r>
            <w:r w:rsidRPr="00242568">
              <w:rPr>
                <w:rFonts w:asciiTheme="minorHAnsi" w:eastAsia="Times New Roman" w:hAnsiTheme="minorHAnsi" w:cstheme="minorHAnsi"/>
                <w:color w:val="333333"/>
                <w:sz w:val="22"/>
                <w:szCs w:val="22"/>
              </w:rPr>
              <w:t>The report summarizes banking conditions and the Federal Reserve’s supervisory and regulatory activities, in conjunction with semiannual testimony before Congress by the Vice Chair for Supervision.</w:t>
            </w:r>
          </w:p>
          <w:p w14:paraId="45937A59" w14:textId="77777777" w:rsidR="00286BD0" w:rsidRPr="00242568" w:rsidRDefault="00286BD0" w:rsidP="00985302">
            <w:pPr>
              <w:shd w:val="clear" w:color="auto" w:fill="FFFFFF"/>
              <w:spacing w:before="225" w:after="120"/>
              <w:outlineLvl w:val="3"/>
              <w:rPr>
                <w:rFonts w:eastAsia="Times New Roman" w:cstheme="minorHAnsi"/>
                <w:color w:val="163855"/>
              </w:rPr>
            </w:pPr>
            <w:r w:rsidRPr="00242568">
              <w:rPr>
                <w:rFonts w:eastAsia="Times New Roman" w:cstheme="minorHAnsi"/>
                <w:color w:val="163855"/>
              </w:rPr>
              <w:t>2025</w:t>
            </w:r>
          </w:p>
          <w:p w14:paraId="45C97CC7" w14:textId="77777777" w:rsidR="00286BD0" w:rsidRPr="00242568" w:rsidRDefault="00286BD0" w:rsidP="00985302">
            <w:pPr>
              <w:shd w:val="clear" w:color="auto" w:fill="FFFFFF"/>
              <w:spacing w:after="150"/>
              <w:rPr>
                <w:rFonts w:eastAsia="Times New Roman" w:cstheme="minorHAnsi"/>
                <w:color w:val="333333"/>
              </w:rPr>
            </w:pPr>
            <w:r w:rsidRPr="00242568">
              <w:rPr>
                <w:rFonts w:eastAsia="Times New Roman" w:cstheme="minorHAnsi"/>
                <w:color w:val="333333"/>
              </w:rPr>
              <w:t>December:</w:t>
            </w:r>
            <w:r w:rsidRPr="00242568">
              <w:rPr>
                <w:rFonts w:eastAsia="Times New Roman" w:cstheme="minorHAnsi"/>
                <w:color w:val="333333"/>
              </w:rPr>
              <w:br/>
              <w:t>Report: </w:t>
            </w:r>
            <w:hyperlink r:id="rId20" w:history="1">
              <w:r w:rsidRPr="00242568">
                <w:rPr>
                  <w:rFonts w:eastAsia="Times New Roman" w:cstheme="minorHAnsi"/>
                  <w:color w:val="3A6C9C"/>
                  <w:u w:val="single"/>
                </w:rPr>
                <w:t>PDF</w:t>
              </w:r>
            </w:hyperlink>
            <w:r w:rsidRPr="00242568">
              <w:rPr>
                <w:rFonts w:eastAsia="Times New Roman" w:cstheme="minorHAnsi"/>
                <w:color w:val="333333"/>
              </w:rPr>
              <w:t> | </w:t>
            </w:r>
            <w:hyperlink r:id="rId21" w:history="1">
              <w:r w:rsidRPr="00242568">
                <w:rPr>
                  <w:rFonts w:eastAsia="Times New Roman" w:cstheme="minorHAnsi"/>
                  <w:color w:val="3A6C9C"/>
                  <w:u w:val="single"/>
                </w:rPr>
                <w:t>Data Sources and Terms</w:t>
              </w:r>
            </w:hyperlink>
          </w:p>
          <w:p w14:paraId="5D2C754B" w14:textId="66E3C6CD" w:rsidR="00286BD0" w:rsidRPr="00314343" w:rsidRDefault="00286BD0" w:rsidP="00314343">
            <w:pPr>
              <w:rPr>
                <w:rFonts w:eastAsia="Aptos" w:cstheme="minorHAnsi"/>
                <w:b/>
                <w:bCs/>
                <w:i/>
                <w:iCs/>
                <w:color w:val="002060"/>
              </w:rPr>
            </w:pPr>
            <w:r w:rsidRPr="00242568">
              <w:rPr>
                <w:rFonts w:eastAsia="Aptos" w:cstheme="minorHAnsi"/>
                <w:b/>
                <w:bCs/>
                <w:i/>
                <w:iCs/>
                <w:color w:val="002060"/>
              </w:rPr>
              <w:t xml:space="preserve">Comment: </w:t>
            </w:r>
            <w:r>
              <w:rPr>
                <w:rFonts w:eastAsia="Aptos" w:cstheme="minorHAnsi"/>
                <w:b/>
                <w:bCs/>
                <w:i/>
                <w:iCs/>
                <w:color w:val="002060"/>
              </w:rPr>
              <w:t>‘</w:t>
            </w:r>
            <w:r w:rsidRPr="00311520">
              <w:rPr>
                <w:rFonts w:eastAsia="Aptos" w:cstheme="minorHAnsi"/>
                <w:b/>
                <w:bCs/>
                <w:i/>
                <w:iCs/>
                <w:color w:val="002060"/>
              </w:rPr>
              <w:t>The report indicates declines among global systemically important banks, large foreign and domestic banking organizations, and small and midsize banks, reflecting a shift in the Fed’s supervisory posture.</w:t>
            </w:r>
            <w:r>
              <w:rPr>
                <w:rFonts w:eastAsia="Aptos" w:cstheme="minorHAnsi"/>
                <w:b/>
                <w:bCs/>
                <w:i/>
                <w:iCs/>
                <w:color w:val="002060"/>
              </w:rPr>
              <w:t xml:space="preserve">’ –  </w:t>
            </w:r>
            <w:hyperlink r:id="rId22" w:history="1">
              <w:r w:rsidRPr="00311520">
                <w:rPr>
                  <w:rStyle w:val="Hyperlink"/>
                  <w:rFonts w:eastAsia="Aptos" w:cstheme="minorHAnsi"/>
                  <w:b/>
                  <w:bCs/>
                  <w:i/>
                  <w:iCs/>
                </w:rPr>
                <w:t>Sheppard Mullin</w:t>
              </w:r>
            </w:hyperlink>
            <w:r>
              <w:rPr>
                <w:rFonts w:eastAsia="Aptos" w:cstheme="minorHAnsi"/>
                <w:b/>
                <w:bCs/>
                <w:i/>
                <w:iCs/>
                <w:color w:val="002060"/>
              </w:rPr>
              <w:t>.</w:t>
            </w:r>
          </w:p>
        </w:tc>
      </w:tr>
      <w:bookmarkEnd w:id="19"/>
    </w:tbl>
    <w:p w14:paraId="4B7AB60D" w14:textId="77777777" w:rsidR="00286BD0" w:rsidRPr="00311520" w:rsidRDefault="00286BD0" w:rsidP="00286BD0"/>
    <w:p w14:paraId="7A886A70" w14:textId="77777777" w:rsidR="00286BD0" w:rsidRPr="000E7136" w:rsidRDefault="00286BD0" w:rsidP="00286BD0">
      <w:pPr>
        <w:rPr>
          <w:rFonts w:ascii="Verdana" w:hAnsi="Verdana" w:cs="Calibri"/>
          <w:b/>
          <w:bCs/>
        </w:rPr>
      </w:pPr>
      <w:r w:rsidRPr="000E7136">
        <w:rPr>
          <w:rFonts w:ascii="Verdana" w:hAnsi="Verdana" w:cs="Calibri"/>
          <w:b/>
          <w:bCs/>
        </w:rPr>
        <w:t>Deposit / Retail Operations</w:t>
      </w:r>
    </w:p>
    <w:tbl>
      <w:tblPr>
        <w:tblStyle w:val="TableGrid"/>
        <w:tblW w:w="9350" w:type="dxa"/>
        <w:tblLook w:val="04A0" w:firstRow="1" w:lastRow="0" w:firstColumn="1" w:lastColumn="0" w:noHBand="0" w:noVBand="1"/>
      </w:tblPr>
      <w:tblGrid>
        <w:gridCol w:w="985"/>
        <w:gridCol w:w="8365"/>
      </w:tblGrid>
      <w:tr w:rsidR="00286BD0" w:rsidRPr="00726D8C" w14:paraId="2333E25E" w14:textId="77777777" w:rsidTr="00985302">
        <w:tc>
          <w:tcPr>
            <w:tcW w:w="985" w:type="dxa"/>
            <w:shd w:val="clear" w:color="auto" w:fill="FFFF00"/>
          </w:tcPr>
          <w:p w14:paraId="5E6848DD" w14:textId="77777777" w:rsidR="00286BD0" w:rsidRPr="00D61484" w:rsidRDefault="00286BD0" w:rsidP="00985302">
            <w:pPr>
              <w:rPr>
                <w:rFonts w:ascii="Calibri" w:hAnsi="Calibri" w:cs="Calibri"/>
                <w:lang w:val="fr-FR"/>
              </w:rPr>
            </w:pPr>
          </w:p>
        </w:tc>
        <w:tc>
          <w:tcPr>
            <w:tcW w:w="8365" w:type="dxa"/>
          </w:tcPr>
          <w:p w14:paraId="61C041FD" w14:textId="77777777" w:rsidR="00286BD0" w:rsidRPr="001F0D07" w:rsidRDefault="00286BD0" w:rsidP="00985302">
            <w:pPr>
              <w:pStyle w:val="NormalWeb"/>
              <w:shd w:val="clear" w:color="auto" w:fill="FFFFFF"/>
              <w:rPr>
                <w:rFonts w:asciiTheme="minorHAnsi" w:hAnsiTheme="minorHAnsi" w:cstheme="minorHAnsi"/>
                <w:sz w:val="22"/>
                <w:szCs w:val="22"/>
              </w:rPr>
            </w:pPr>
            <w:r>
              <w:rPr>
                <w:rFonts w:asciiTheme="minorHAnsi" w:eastAsia="Calibri" w:hAnsiTheme="minorHAnsi" w:cstheme="minorHAnsi"/>
                <w:b/>
                <w:bCs/>
                <w:color w:val="000000"/>
                <w:sz w:val="22"/>
                <w:szCs w:val="22"/>
              </w:rPr>
              <w:t>FRB</w:t>
            </w:r>
            <w:r w:rsidRPr="00D61484">
              <w:rPr>
                <w:rFonts w:asciiTheme="minorHAnsi" w:eastAsia="Calibri" w:hAnsiTheme="minorHAnsi" w:cstheme="minorHAnsi"/>
                <w:color w:val="000000"/>
                <w:sz w:val="22"/>
                <w:szCs w:val="22"/>
              </w:rPr>
              <w:t xml:space="preserve"> </w:t>
            </w:r>
            <w:hyperlink r:id="rId23" w:history="1">
              <w:r w:rsidRPr="001F0D07">
                <w:rPr>
                  <w:rStyle w:val="Hyperlink"/>
                  <w:rFonts w:asciiTheme="minorHAnsi" w:eastAsia="Calibri" w:hAnsiTheme="minorHAnsi" w:cstheme="minorHAnsi"/>
                  <w:sz w:val="22"/>
                  <w:szCs w:val="22"/>
                </w:rPr>
                <w:t xml:space="preserve">Federal Reserve Board Requests Public Input </w:t>
              </w:r>
              <w:r>
                <w:rPr>
                  <w:rStyle w:val="Hyperlink"/>
                  <w:rFonts w:asciiTheme="minorHAnsi" w:eastAsia="Calibri" w:hAnsiTheme="minorHAnsi" w:cstheme="minorHAnsi"/>
                  <w:sz w:val="22"/>
                  <w:szCs w:val="22"/>
                </w:rPr>
                <w:t>o</w:t>
              </w:r>
              <w:r w:rsidRPr="001F0D07">
                <w:rPr>
                  <w:rStyle w:val="Hyperlink"/>
                  <w:rFonts w:asciiTheme="minorHAnsi" w:eastAsia="Calibri" w:hAnsiTheme="minorHAnsi" w:cstheme="minorHAnsi"/>
                  <w:sz w:val="22"/>
                  <w:szCs w:val="22"/>
                </w:rPr>
                <w:t xml:space="preserve">n </w:t>
              </w:r>
              <w:r>
                <w:rPr>
                  <w:rStyle w:val="Hyperlink"/>
                  <w:rFonts w:asciiTheme="minorHAnsi" w:eastAsia="Calibri" w:hAnsiTheme="minorHAnsi" w:cstheme="minorHAnsi"/>
                  <w:sz w:val="22"/>
                  <w:szCs w:val="22"/>
                </w:rPr>
                <w:t>t</w:t>
              </w:r>
              <w:r w:rsidRPr="001F0D07">
                <w:rPr>
                  <w:rStyle w:val="Hyperlink"/>
                  <w:rFonts w:asciiTheme="minorHAnsi" w:eastAsia="Calibri" w:hAnsiTheme="minorHAnsi" w:cstheme="minorHAnsi"/>
                  <w:sz w:val="22"/>
                  <w:szCs w:val="22"/>
                </w:rPr>
                <w:t xml:space="preserve">he Impact </w:t>
              </w:r>
              <w:r>
                <w:rPr>
                  <w:rStyle w:val="Hyperlink"/>
                  <w:rFonts w:asciiTheme="minorHAnsi" w:eastAsia="Calibri" w:hAnsiTheme="minorHAnsi" w:cstheme="minorHAnsi"/>
                  <w:sz w:val="22"/>
                  <w:szCs w:val="22"/>
                </w:rPr>
                <w:t>o</w:t>
              </w:r>
              <w:r w:rsidRPr="001F0D07">
                <w:rPr>
                  <w:rStyle w:val="Hyperlink"/>
                  <w:rFonts w:asciiTheme="minorHAnsi" w:eastAsia="Calibri" w:hAnsiTheme="minorHAnsi" w:cstheme="minorHAnsi"/>
                  <w:sz w:val="22"/>
                  <w:szCs w:val="22"/>
                </w:rPr>
                <w:t xml:space="preserve">f Potential Strategic Changes </w:t>
              </w:r>
              <w:r>
                <w:rPr>
                  <w:rStyle w:val="Hyperlink"/>
                  <w:rFonts w:asciiTheme="minorHAnsi" w:eastAsia="Calibri" w:hAnsiTheme="minorHAnsi" w:cstheme="minorHAnsi"/>
                  <w:sz w:val="22"/>
                  <w:szCs w:val="22"/>
                </w:rPr>
                <w:t>t</w:t>
              </w:r>
              <w:r w:rsidRPr="001F0D07">
                <w:rPr>
                  <w:rStyle w:val="Hyperlink"/>
                  <w:rFonts w:asciiTheme="minorHAnsi" w:eastAsia="Calibri" w:hAnsiTheme="minorHAnsi" w:cstheme="minorHAnsi"/>
                  <w:sz w:val="22"/>
                  <w:szCs w:val="22"/>
                </w:rPr>
                <w:t xml:space="preserve">o Check Services Provided </w:t>
              </w:r>
              <w:r>
                <w:rPr>
                  <w:rStyle w:val="Hyperlink"/>
                  <w:rFonts w:asciiTheme="minorHAnsi" w:eastAsia="Calibri" w:hAnsiTheme="minorHAnsi" w:cstheme="minorHAnsi"/>
                  <w:sz w:val="22"/>
                  <w:szCs w:val="22"/>
                </w:rPr>
                <w:t>b</w:t>
              </w:r>
              <w:r w:rsidRPr="001F0D07">
                <w:rPr>
                  <w:rStyle w:val="Hyperlink"/>
                  <w:rFonts w:asciiTheme="minorHAnsi" w:eastAsia="Calibri" w:hAnsiTheme="minorHAnsi" w:cstheme="minorHAnsi"/>
                  <w:sz w:val="22"/>
                  <w:szCs w:val="22"/>
                </w:rPr>
                <w:t xml:space="preserve">y </w:t>
              </w:r>
              <w:r>
                <w:rPr>
                  <w:rStyle w:val="Hyperlink"/>
                  <w:rFonts w:asciiTheme="minorHAnsi" w:eastAsia="Calibri" w:hAnsiTheme="minorHAnsi" w:cstheme="minorHAnsi"/>
                  <w:sz w:val="22"/>
                  <w:szCs w:val="22"/>
                </w:rPr>
                <w:t>t</w:t>
              </w:r>
              <w:r w:rsidRPr="001F0D07">
                <w:rPr>
                  <w:rStyle w:val="Hyperlink"/>
                  <w:rFonts w:asciiTheme="minorHAnsi" w:eastAsia="Calibri" w:hAnsiTheme="minorHAnsi" w:cstheme="minorHAnsi"/>
                  <w:sz w:val="22"/>
                  <w:szCs w:val="22"/>
                </w:rPr>
                <w:t xml:space="preserve">he Fed, </w:t>
              </w:r>
              <w:r>
                <w:rPr>
                  <w:rStyle w:val="Hyperlink"/>
                  <w:rFonts w:asciiTheme="minorHAnsi" w:eastAsia="Calibri" w:hAnsiTheme="minorHAnsi" w:cstheme="minorHAnsi"/>
                  <w:sz w:val="22"/>
                  <w:szCs w:val="22"/>
                </w:rPr>
                <w:t>a</w:t>
              </w:r>
              <w:r w:rsidRPr="001F0D07">
                <w:rPr>
                  <w:rStyle w:val="Hyperlink"/>
                  <w:rFonts w:asciiTheme="minorHAnsi" w:eastAsia="Calibri" w:hAnsiTheme="minorHAnsi" w:cstheme="minorHAnsi"/>
                  <w:sz w:val="22"/>
                  <w:szCs w:val="22"/>
                </w:rPr>
                <w:t xml:space="preserve">s Well </w:t>
              </w:r>
              <w:r>
                <w:rPr>
                  <w:rStyle w:val="Hyperlink"/>
                  <w:rFonts w:asciiTheme="minorHAnsi" w:eastAsia="Calibri" w:hAnsiTheme="minorHAnsi" w:cstheme="minorHAnsi"/>
                  <w:sz w:val="22"/>
                  <w:szCs w:val="22"/>
                </w:rPr>
                <w:t>a</w:t>
              </w:r>
              <w:r w:rsidRPr="001F0D07">
                <w:rPr>
                  <w:rStyle w:val="Hyperlink"/>
                  <w:rFonts w:asciiTheme="minorHAnsi" w:eastAsia="Calibri" w:hAnsiTheme="minorHAnsi" w:cstheme="minorHAnsi"/>
                  <w:sz w:val="22"/>
                  <w:szCs w:val="22"/>
                </w:rPr>
                <w:t xml:space="preserve">s Check Usage </w:t>
              </w:r>
              <w:r>
                <w:rPr>
                  <w:rStyle w:val="Hyperlink"/>
                  <w:rFonts w:asciiTheme="minorHAnsi" w:eastAsia="Calibri" w:hAnsiTheme="minorHAnsi" w:cstheme="minorHAnsi"/>
                  <w:sz w:val="22"/>
                  <w:szCs w:val="22"/>
                </w:rPr>
                <w:t>a</w:t>
              </w:r>
              <w:r w:rsidRPr="001F0D07">
                <w:rPr>
                  <w:rStyle w:val="Hyperlink"/>
                  <w:rFonts w:asciiTheme="minorHAnsi" w:eastAsia="Calibri" w:hAnsiTheme="minorHAnsi" w:cstheme="minorHAnsi"/>
                  <w:sz w:val="22"/>
                  <w:szCs w:val="22"/>
                </w:rPr>
                <w:t>nd Preferences</w:t>
              </w:r>
            </w:hyperlink>
            <w:r w:rsidRPr="001F0D07">
              <w:rPr>
                <w:rFonts w:asciiTheme="minorHAnsi" w:eastAsia="Calibri" w:hAnsiTheme="minorHAnsi" w:cstheme="minorHAnsi"/>
                <w:color w:val="000000"/>
                <w:sz w:val="22"/>
                <w:szCs w:val="22"/>
              </w:rPr>
              <w:t xml:space="preserve"> </w:t>
            </w:r>
            <w:r w:rsidRPr="00D61484">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12</w:t>
            </w:r>
            <w:r w:rsidRPr="00D61484">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04</w:t>
            </w:r>
            <w:r w:rsidRPr="00D61484">
              <w:rPr>
                <w:rFonts w:asciiTheme="minorHAnsi" w:eastAsia="Calibri" w:hAnsiTheme="minorHAnsi" w:cstheme="minorHAnsi"/>
                <w:color w:val="000000"/>
                <w:sz w:val="22"/>
                <w:szCs w:val="22"/>
              </w:rPr>
              <w:t>/2025) –</w:t>
            </w:r>
            <w:r w:rsidRPr="00D61484">
              <w:rPr>
                <w:rFonts w:asciiTheme="minorHAnsi" w:hAnsiTheme="minorHAnsi" w:cstheme="minorHAnsi"/>
                <w:sz w:val="22"/>
                <w:szCs w:val="22"/>
              </w:rPr>
              <w:t xml:space="preserve"> </w:t>
            </w:r>
            <w:r w:rsidRPr="001F0D07">
              <w:rPr>
                <w:rFonts w:asciiTheme="minorHAnsi" w:hAnsiTheme="minorHAnsi" w:cstheme="minorHAnsi"/>
                <w:sz w:val="22"/>
                <w:szCs w:val="22"/>
              </w:rPr>
              <w:t>The Federal Reserve Board on Thursday requested public input on the impact of potential strategic changes to check services provided by the Fed, as well as check usage and preferences.</w:t>
            </w:r>
          </w:p>
          <w:p w14:paraId="27B082D8" w14:textId="77777777" w:rsidR="00286BD0" w:rsidRPr="001F0D07" w:rsidRDefault="00286BD0" w:rsidP="00985302">
            <w:pPr>
              <w:pStyle w:val="NormalWeb"/>
              <w:shd w:val="clear" w:color="auto" w:fill="FFFFFF"/>
              <w:rPr>
                <w:rFonts w:asciiTheme="minorHAnsi" w:hAnsiTheme="minorHAnsi" w:cstheme="minorHAnsi"/>
                <w:sz w:val="22"/>
                <w:szCs w:val="22"/>
              </w:rPr>
            </w:pPr>
          </w:p>
          <w:p w14:paraId="39985C94" w14:textId="77777777" w:rsidR="00286BD0" w:rsidRPr="001F0D07" w:rsidRDefault="00286BD0" w:rsidP="00985302">
            <w:pPr>
              <w:pStyle w:val="NormalWeb"/>
              <w:shd w:val="clear" w:color="auto" w:fill="FFFFFF"/>
              <w:rPr>
                <w:rFonts w:asciiTheme="minorHAnsi" w:hAnsiTheme="minorHAnsi" w:cstheme="minorHAnsi"/>
                <w:sz w:val="22"/>
                <w:szCs w:val="22"/>
              </w:rPr>
            </w:pPr>
            <w:r w:rsidRPr="001F0D07">
              <w:rPr>
                <w:rFonts w:asciiTheme="minorHAnsi" w:hAnsiTheme="minorHAnsi" w:cstheme="minorHAnsi"/>
                <w:sz w:val="22"/>
                <w:szCs w:val="22"/>
              </w:rPr>
              <w:t>The Reserve Banks offer check collection and processing services at a fee to banks and credit unions. Over time, check use has steadily declined, digital payment methods have grown in availability and use, and check fraud has risen. Also, the Reserve Banks will need to make substantial investments in their check infrastructure to continue providing the same level of check services going forward. To help the Board understand stakeholder needs and balance tradeoffs as it considers the future of the Reserve Banks' check services, the Board is seeking input on potential future changes to check services with varying effects on the level of check services offered and their costs. For example, potential future changes could include:</w:t>
            </w:r>
          </w:p>
          <w:p w14:paraId="252477E1" w14:textId="77777777" w:rsidR="00286BD0" w:rsidRPr="001F0D07" w:rsidRDefault="00286BD0" w:rsidP="00985302">
            <w:pPr>
              <w:pStyle w:val="NormalWeb"/>
              <w:shd w:val="clear" w:color="auto" w:fill="FFFFFF"/>
              <w:rPr>
                <w:rFonts w:asciiTheme="minorHAnsi" w:hAnsiTheme="minorHAnsi" w:cstheme="minorHAnsi"/>
                <w:sz w:val="22"/>
                <w:szCs w:val="22"/>
              </w:rPr>
            </w:pPr>
          </w:p>
          <w:p w14:paraId="0317AB9D" w14:textId="77777777" w:rsidR="00286BD0" w:rsidRDefault="00286BD0" w:rsidP="00286BD0">
            <w:pPr>
              <w:pStyle w:val="NormalWeb"/>
              <w:numPr>
                <w:ilvl w:val="0"/>
                <w:numId w:val="32"/>
              </w:numPr>
              <w:shd w:val="clear" w:color="auto" w:fill="FFFFFF"/>
              <w:rPr>
                <w:rFonts w:asciiTheme="minorHAnsi" w:hAnsiTheme="minorHAnsi" w:cstheme="minorHAnsi"/>
                <w:sz w:val="22"/>
                <w:szCs w:val="22"/>
              </w:rPr>
            </w:pPr>
            <w:r w:rsidRPr="001F0D07">
              <w:rPr>
                <w:rFonts w:asciiTheme="minorHAnsi" w:hAnsiTheme="minorHAnsi" w:cstheme="minorHAnsi"/>
                <w:sz w:val="22"/>
                <w:szCs w:val="22"/>
              </w:rPr>
              <w:t xml:space="preserve">Foregoing investments in the Reserve Banks' check infrastructure to keep operating costs at existing levels with reduced reliability of check services over </w:t>
            </w:r>
            <w:proofErr w:type="gramStart"/>
            <w:r w:rsidRPr="001F0D07">
              <w:rPr>
                <w:rFonts w:asciiTheme="minorHAnsi" w:hAnsiTheme="minorHAnsi" w:cstheme="minorHAnsi"/>
                <w:sz w:val="22"/>
                <w:szCs w:val="22"/>
              </w:rPr>
              <w:t>time;</w:t>
            </w:r>
            <w:proofErr w:type="gramEnd"/>
          </w:p>
          <w:p w14:paraId="3E1F5457" w14:textId="77777777" w:rsidR="00286BD0" w:rsidRPr="001F0D07" w:rsidRDefault="00286BD0" w:rsidP="00985302">
            <w:pPr>
              <w:pStyle w:val="NormalWeb"/>
              <w:shd w:val="clear" w:color="auto" w:fill="FFFFFF"/>
              <w:rPr>
                <w:rFonts w:asciiTheme="minorHAnsi" w:hAnsiTheme="minorHAnsi" w:cstheme="minorHAnsi"/>
                <w:sz w:val="22"/>
                <w:szCs w:val="22"/>
              </w:rPr>
            </w:pPr>
          </w:p>
          <w:p w14:paraId="52F37130" w14:textId="77777777" w:rsidR="00286BD0" w:rsidRDefault="00286BD0" w:rsidP="00286BD0">
            <w:pPr>
              <w:pStyle w:val="NormalWeb"/>
              <w:numPr>
                <w:ilvl w:val="0"/>
                <w:numId w:val="32"/>
              </w:numPr>
              <w:shd w:val="clear" w:color="auto" w:fill="FFFFFF"/>
              <w:rPr>
                <w:rFonts w:asciiTheme="minorHAnsi" w:hAnsiTheme="minorHAnsi" w:cstheme="minorHAnsi"/>
                <w:sz w:val="22"/>
                <w:szCs w:val="22"/>
              </w:rPr>
            </w:pPr>
            <w:r w:rsidRPr="001F0D07">
              <w:rPr>
                <w:rFonts w:asciiTheme="minorHAnsi" w:hAnsiTheme="minorHAnsi" w:cstheme="minorHAnsi"/>
                <w:sz w:val="22"/>
                <w:szCs w:val="22"/>
              </w:rPr>
              <w:t>Investing in the Reserve Banks' check infrastructure to maintain and potentially improve check services with higher operating costs; or</w:t>
            </w:r>
          </w:p>
          <w:p w14:paraId="604A1846" w14:textId="77777777" w:rsidR="00286BD0" w:rsidRPr="001F0D07" w:rsidRDefault="00286BD0" w:rsidP="00985302">
            <w:pPr>
              <w:pStyle w:val="NormalWeb"/>
              <w:shd w:val="clear" w:color="auto" w:fill="FFFFFF"/>
              <w:rPr>
                <w:rFonts w:asciiTheme="minorHAnsi" w:hAnsiTheme="minorHAnsi" w:cstheme="minorHAnsi"/>
                <w:sz w:val="22"/>
                <w:szCs w:val="22"/>
              </w:rPr>
            </w:pPr>
          </w:p>
          <w:p w14:paraId="15922D78" w14:textId="77777777" w:rsidR="00286BD0" w:rsidRDefault="00286BD0" w:rsidP="00286BD0">
            <w:pPr>
              <w:pStyle w:val="NormalWeb"/>
              <w:numPr>
                <w:ilvl w:val="0"/>
                <w:numId w:val="32"/>
              </w:numPr>
              <w:shd w:val="clear" w:color="auto" w:fill="FFFFFF"/>
              <w:rPr>
                <w:rFonts w:asciiTheme="minorHAnsi" w:hAnsiTheme="minorHAnsi" w:cstheme="minorHAnsi"/>
                <w:sz w:val="22"/>
                <w:szCs w:val="22"/>
              </w:rPr>
            </w:pPr>
            <w:r w:rsidRPr="001F0D07">
              <w:rPr>
                <w:rFonts w:asciiTheme="minorHAnsi" w:hAnsiTheme="minorHAnsi" w:cstheme="minorHAnsi"/>
                <w:sz w:val="22"/>
                <w:szCs w:val="22"/>
              </w:rPr>
              <w:t>Significantly reducing check services, or alternatively, substantially winding them down, both resulting in reduced operating costs.</w:t>
            </w:r>
          </w:p>
          <w:p w14:paraId="23E7079F" w14:textId="77777777" w:rsidR="00286BD0" w:rsidRPr="001F0D07" w:rsidRDefault="00286BD0" w:rsidP="00985302">
            <w:pPr>
              <w:pStyle w:val="NormalWeb"/>
              <w:shd w:val="clear" w:color="auto" w:fill="FFFFFF"/>
              <w:rPr>
                <w:rFonts w:asciiTheme="minorHAnsi" w:hAnsiTheme="minorHAnsi" w:cstheme="minorHAnsi"/>
                <w:sz w:val="22"/>
                <w:szCs w:val="22"/>
              </w:rPr>
            </w:pPr>
          </w:p>
          <w:p w14:paraId="711C2CFC" w14:textId="77777777" w:rsidR="00286BD0" w:rsidRPr="001F0D07" w:rsidRDefault="00286BD0" w:rsidP="00985302">
            <w:pPr>
              <w:pStyle w:val="NormalWeb"/>
              <w:shd w:val="clear" w:color="auto" w:fill="FFFFFF"/>
              <w:rPr>
                <w:rFonts w:asciiTheme="minorHAnsi" w:hAnsiTheme="minorHAnsi" w:cstheme="minorHAnsi"/>
                <w:sz w:val="22"/>
                <w:szCs w:val="22"/>
              </w:rPr>
            </w:pPr>
            <w:r w:rsidRPr="001F0D07">
              <w:rPr>
                <w:rFonts w:asciiTheme="minorHAnsi" w:hAnsiTheme="minorHAnsi" w:cstheme="minorHAnsi"/>
                <w:sz w:val="22"/>
                <w:szCs w:val="22"/>
              </w:rPr>
              <w:t>The Board's request for public input asks several questions about these potential changes, including the impact on consumers and businesses. This request for public input is preliminary. Accordingly, if commenters and the Board's analysis support a strategy that may have significant longer-run effects on the nation's payments system, the Board would seek additional public comment on such changes to check services prior to adoption.</w:t>
            </w:r>
          </w:p>
          <w:p w14:paraId="60F6B1A9" w14:textId="77777777" w:rsidR="00286BD0" w:rsidRPr="001F0D07" w:rsidRDefault="00286BD0" w:rsidP="00985302">
            <w:pPr>
              <w:pStyle w:val="NormalWeb"/>
              <w:shd w:val="clear" w:color="auto" w:fill="FFFFFF"/>
              <w:rPr>
                <w:rFonts w:asciiTheme="minorHAnsi" w:hAnsiTheme="minorHAnsi" w:cstheme="minorHAnsi"/>
                <w:sz w:val="22"/>
                <w:szCs w:val="22"/>
              </w:rPr>
            </w:pPr>
          </w:p>
          <w:p w14:paraId="730A92CF" w14:textId="77777777" w:rsidR="00286BD0" w:rsidRPr="00D61484" w:rsidRDefault="00286BD0" w:rsidP="00985302">
            <w:pPr>
              <w:pStyle w:val="NormalWeb"/>
              <w:shd w:val="clear" w:color="auto" w:fill="FFFFFF"/>
              <w:rPr>
                <w:rFonts w:asciiTheme="minorHAnsi" w:eastAsia="Calibri" w:hAnsiTheme="minorHAnsi" w:cstheme="minorHAnsi"/>
                <w:color w:val="000000"/>
                <w:sz w:val="22"/>
                <w:szCs w:val="22"/>
              </w:rPr>
            </w:pPr>
            <w:r w:rsidRPr="001F0D07">
              <w:rPr>
                <w:rFonts w:asciiTheme="minorHAnsi" w:hAnsiTheme="minorHAnsi" w:cstheme="minorHAnsi"/>
                <w:sz w:val="22"/>
                <w:szCs w:val="22"/>
              </w:rPr>
              <w:t>Comments are due within 90 days after publication in the Federal Register.</w:t>
            </w:r>
          </w:p>
          <w:p w14:paraId="77AEF70C" w14:textId="77777777" w:rsidR="00286BD0" w:rsidRPr="00D61484" w:rsidRDefault="00286BD0" w:rsidP="00985302">
            <w:pPr>
              <w:pStyle w:val="NormalWeb"/>
              <w:shd w:val="clear" w:color="auto" w:fill="FFFFFF"/>
              <w:rPr>
                <w:rFonts w:asciiTheme="minorHAnsi" w:eastAsia="Calibri" w:hAnsiTheme="minorHAnsi" w:cstheme="minorHAnsi"/>
                <w:color w:val="000000"/>
                <w:sz w:val="22"/>
                <w:szCs w:val="22"/>
              </w:rPr>
            </w:pPr>
          </w:p>
          <w:p w14:paraId="0E210119" w14:textId="1B0D58C1" w:rsidR="00286BD0" w:rsidRPr="00314343" w:rsidRDefault="00286BD0" w:rsidP="00314343">
            <w:pPr>
              <w:rPr>
                <w:rFonts w:eastAsia="Aptos" w:cstheme="minorHAnsi"/>
                <w:b/>
                <w:bCs/>
                <w:i/>
                <w:iCs/>
                <w:color w:val="002060"/>
              </w:rPr>
            </w:pPr>
            <w:r w:rsidRPr="00D61484">
              <w:rPr>
                <w:rFonts w:eastAsia="Aptos" w:cstheme="minorHAnsi"/>
                <w:b/>
                <w:bCs/>
                <w:i/>
                <w:iCs/>
                <w:color w:val="002060"/>
              </w:rPr>
              <w:t xml:space="preserve">Comment: </w:t>
            </w:r>
            <w:r>
              <w:rPr>
                <w:rFonts w:eastAsia="Aptos" w:cstheme="minorHAnsi"/>
                <w:b/>
                <w:bCs/>
                <w:i/>
                <w:iCs/>
                <w:color w:val="002060"/>
              </w:rPr>
              <w:t>As noted previously, the Fed must cover costs through fees. Aging infrastructure, declining volume and technological innovations are adding pressures on the Fed to make changes. Any major changes proposed after this preliminary process is completed will be open for comment.</w:t>
            </w:r>
          </w:p>
        </w:tc>
      </w:tr>
      <w:tr w:rsidR="00286BD0" w:rsidRPr="00726D8C" w14:paraId="0307A44B" w14:textId="77777777" w:rsidTr="00985302">
        <w:tc>
          <w:tcPr>
            <w:tcW w:w="985" w:type="dxa"/>
          </w:tcPr>
          <w:p w14:paraId="187FF22A" w14:textId="77777777" w:rsidR="00286BD0" w:rsidRPr="00311520" w:rsidRDefault="00286BD0" w:rsidP="00985302">
            <w:pPr>
              <w:rPr>
                <w:rFonts w:ascii="Calibri" w:hAnsi="Calibri" w:cs="Calibri"/>
              </w:rPr>
            </w:pPr>
          </w:p>
        </w:tc>
        <w:tc>
          <w:tcPr>
            <w:tcW w:w="8365" w:type="dxa"/>
          </w:tcPr>
          <w:p w14:paraId="7F79E9B4" w14:textId="77777777" w:rsidR="00286BD0" w:rsidRDefault="00286BD0" w:rsidP="00985302">
            <w:pPr>
              <w:pStyle w:val="NormalWeb"/>
              <w:shd w:val="clear" w:color="auto" w:fill="FFFFFF"/>
              <w:rPr>
                <w:rFonts w:asciiTheme="minorHAnsi" w:eastAsia="Calibri" w:hAnsiTheme="minorHAnsi" w:cstheme="minorHAnsi"/>
                <w:b/>
                <w:bCs/>
                <w:color w:val="000000"/>
                <w:sz w:val="22"/>
                <w:szCs w:val="22"/>
              </w:rPr>
            </w:pPr>
          </w:p>
        </w:tc>
      </w:tr>
      <w:tr w:rsidR="00286BD0" w:rsidRPr="00B62DDC" w14:paraId="3AA4B205" w14:textId="77777777" w:rsidTr="00985302">
        <w:tc>
          <w:tcPr>
            <w:tcW w:w="985" w:type="dxa"/>
            <w:shd w:val="clear" w:color="auto" w:fill="00B050"/>
          </w:tcPr>
          <w:p w14:paraId="57367523" w14:textId="77777777" w:rsidR="00286BD0" w:rsidRPr="00311520" w:rsidRDefault="00286BD0" w:rsidP="00985302">
            <w:pPr>
              <w:rPr>
                <w:rFonts w:ascii="Calibri" w:hAnsi="Calibri" w:cs="Calibri"/>
              </w:rPr>
            </w:pPr>
          </w:p>
        </w:tc>
        <w:tc>
          <w:tcPr>
            <w:tcW w:w="8365" w:type="dxa"/>
          </w:tcPr>
          <w:p w14:paraId="5F3899C8" w14:textId="77777777" w:rsidR="00286BD0" w:rsidRPr="00B62DDC" w:rsidRDefault="00286BD0" w:rsidP="00985302">
            <w:pPr>
              <w:pStyle w:val="NormalWeb"/>
              <w:shd w:val="clear" w:color="auto" w:fill="FFFFFF"/>
              <w:rPr>
                <w:rFonts w:asciiTheme="minorHAnsi" w:eastAsia="Times New Roman" w:hAnsiTheme="minorHAnsi" w:cstheme="minorHAnsi"/>
                <w:color w:val="1B1B1B"/>
                <w:sz w:val="22"/>
                <w:szCs w:val="22"/>
              </w:rPr>
            </w:pPr>
            <w:r w:rsidRPr="00B62DDC">
              <w:rPr>
                <w:rFonts w:asciiTheme="minorHAnsi" w:eastAsia="Calibri" w:hAnsiTheme="minorHAnsi" w:cstheme="minorHAnsi"/>
                <w:b/>
                <w:bCs/>
                <w:color w:val="000000"/>
                <w:sz w:val="22"/>
                <w:szCs w:val="22"/>
              </w:rPr>
              <w:t>FTC</w:t>
            </w:r>
            <w:r w:rsidRPr="00B62DDC">
              <w:rPr>
                <w:rFonts w:asciiTheme="minorHAnsi" w:eastAsia="Calibri" w:hAnsiTheme="minorHAnsi" w:cstheme="minorHAnsi"/>
                <w:color w:val="000000"/>
                <w:sz w:val="22"/>
                <w:szCs w:val="22"/>
              </w:rPr>
              <w:t xml:space="preserve"> </w:t>
            </w:r>
            <w:hyperlink r:id="rId24" w:history="1">
              <w:r w:rsidRPr="00B62DDC">
                <w:rPr>
                  <w:rStyle w:val="Hyperlink"/>
                  <w:rFonts w:asciiTheme="minorHAnsi" w:eastAsia="Calibri" w:hAnsiTheme="minorHAnsi" w:cstheme="minorHAnsi"/>
                  <w:sz w:val="22"/>
                  <w:szCs w:val="22"/>
                </w:rPr>
                <w:t>Can You Unbox the Signs of a Reshipping Scam?</w:t>
              </w:r>
            </w:hyperlink>
            <w:r w:rsidRPr="00B62DDC">
              <w:rPr>
                <w:rFonts w:asciiTheme="minorHAnsi" w:eastAsia="Calibri" w:hAnsiTheme="minorHAnsi" w:cstheme="minorHAnsi"/>
                <w:color w:val="000000"/>
                <w:sz w:val="22"/>
                <w:szCs w:val="22"/>
              </w:rPr>
              <w:t xml:space="preserve"> (12/03/2025) –</w:t>
            </w:r>
            <w:r w:rsidRPr="00B62DDC">
              <w:rPr>
                <w:rFonts w:asciiTheme="minorHAnsi" w:hAnsiTheme="minorHAnsi" w:cstheme="minorHAnsi"/>
                <w:sz w:val="22"/>
                <w:szCs w:val="22"/>
              </w:rPr>
              <w:t xml:space="preserve"> </w:t>
            </w:r>
            <w:r w:rsidRPr="00B62DDC">
              <w:rPr>
                <w:rFonts w:asciiTheme="minorHAnsi" w:eastAsia="Times New Roman" w:hAnsiTheme="minorHAnsi" w:cstheme="minorHAnsi"/>
                <w:color w:val="1B1B1B"/>
                <w:sz w:val="22"/>
                <w:szCs w:val="22"/>
              </w:rPr>
              <w:t>A work-from-home job promising easy money and a fancy title like “delivery operations specialist” or “quality control manager” might sound great. But if the offer says all you need to do is receive shipments, repackage them, and send them on to a new address, it’s a </w:t>
            </w:r>
            <w:hyperlink r:id="rId25" w:anchor="examples" w:history="1">
              <w:r w:rsidRPr="00B62DDC">
                <w:rPr>
                  <w:rFonts w:asciiTheme="minorHAnsi" w:eastAsia="Times New Roman" w:hAnsiTheme="minorHAnsi" w:cstheme="minorHAnsi"/>
                  <w:color w:val="005EA2"/>
                  <w:sz w:val="22"/>
                  <w:szCs w:val="22"/>
                  <w:u w:val="single"/>
                </w:rPr>
                <w:t>reshipping scam</w:t>
              </w:r>
            </w:hyperlink>
            <w:r w:rsidRPr="00B62DDC">
              <w:rPr>
                <w:rFonts w:asciiTheme="minorHAnsi" w:eastAsia="Times New Roman" w:hAnsiTheme="minorHAnsi" w:cstheme="minorHAnsi"/>
                <w:color w:val="1B1B1B"/>
                <w:sz w:val="22"/>
                <w:szCs w:val="22"/>
              </w:rPr>
              <w:t>. Here’s what the “employer” leaves out of the job description.</w:t>
            </w:r>
          </w:p>
          <w:p w14:paraId="197064E0" w14:textId="77777777" w:rsidR="00286BD0" w:rsidRPr="00B62DDC" w:rsidRDefault="00286BD0" w:rsidP="00985302">
            <w:pPr>
              <w:shd w:val="clear" w:color="auto" w:fill="FFFFFF"/>
              <w:spacing w:before="100" w:beforeAutospacing="1"/>
              <w:rPr>
                <w:rFonts w:eastAsia="Times New Roman" w:cstheme="minorHAnsi"/>
                <w:color w:val="1B1B1B"/>
              </w:rPr>
            </w:pPr>
            <w:r w:rsidRPr="00B62DDC">
              <w:rPr>
                <w:rFonts w:eastAsia="Times New Roman" w:cstheme="minorHAnsi"/>
                <w:color w:val="1B1B1B"/>
              </w:rPr>
              <w:t xml:space="preserve">When scammers send fake job offers, they sometimes lie about being affiliated with familiar companies like Amazon or FedEx. And they use stolen credit </w:t>
            </w:r>
            <w:proofErr w:type="gramStart"/>
            <w:r w:rsidRPr="00B62DDC">
              <w:rPr>
                <w:rFonts w:eastAsia="Times New Roman" w:cstheme="minorHAnsi"/>
                <w:color w:val="1B1B1B"/>
              </w:rPr>
              <w:t>card</w:t>
            </w:r>
            <w:proofErr w:type="gramEnd"/>
            <w:r w:rsidRPr="00B62DDC">
              <w:rPr>
                <w:rFonts w:eastAsia="Times New Roman" w:cstheme="minorHAnsi"/>
                <w:color w:val="1B1B1B"/>
              </w:rPr>
              <w:t xml:space="preserve"> or bank information to send you high-dollar items (like brand new electronics). Your “job” is to throw out the original box and receipt and send those stolen goods on to another address, often an international one, where it can’t be tracked.</w:t>
            </w:r>
          </w:p>
          <w:p w14:paraId="07DAA957" w14:textId="77777777" w:rsidR="00286BD0" w:rsidRPr="00B62DDC" w:rsidRDefault="00286BD0" w:rsidP="00985302">
            <w:pPr>
              <w:shd w:val="clear" w:color="auto" w:fill="FFFFFF"/>
              <w:spacing w:before="100" w:beforeAutospacing="1"/>
              <w:rPr>
                <w:rFonts w:eastAsia="Times New Roman" w:cstheme="minorHAnsi"/>
                <w:color w:val="1B1B1B"/>
              </w:rPr>
            </w:pPr>
            <w:r w:rsidRPr="00B62DDC">
              <w:rPr>
                <w:rFonts w:eastAsia="Times New Roman" w:cstheme="minorHAnsi"/>
                <w:color w:val="1B1B1B"/>
              </w:rPr>
              <w:t>You may not even know it was a scam until payday comes and goes without a word (or a dollar) — and your “employer” has ghosted you. And if you shared personal information like a bank account or Social Security number or a photocopy of your ID, you might have an </w:t>
            </w:r>
            <w:hyperlink r:id="rId26" w:history="1">
              <w:r w:rsidRPr="00B62DDC">
                <w:rPr>
                  <w:rFonts w:eastAsia="Times New Roman" w:cstheme="minorHAnsi"/>
                  <w:color w:val="005EA2"/>
                  <w:u w:val="single"/>
                </w:rPr>
                <w:t>identity theft problem</w:t>
              </w:r>
            </w:hyperlink>
            <w:r w:rsidRPr="00B62DDC">
              <w:rPr>
                <w:rFonts w:eastAsia="Times New Roman" w:cstheme="minorHAnsi"/>
                <w:color w:val="1B1B1B"/>
              </w:rPr>
              <w:t>.</w:t>
            </w:r>
          </w:p>
          <w:p w14:paraId="6A9F186A" w14:textId="77777777" w:rsidR="00286BD0" w:rsidRPr="00B62DDC" w:rsidRDefault="00286BD0" w:rsidP="00985302">
            <w:pPr>
              <w:shd w:val="clear" w:color="auto" w:fill="FFFFFF"/>
              <w:spacing w:before="100" w:beforeAutospacing="1"/>
              <w:rPr>
                <w:rFonts w:eastAsia="Times New Roman" w:cstheme="minorHAnsi"/>
                <w:color w:val="1B1B1B"/>
              </w:rPr>
            </w:pPr>
            <w:r w:rsidRPr="00B62DDC">
              <w:rPr>
                <w:rFonts w:eastAsia="Times New Roman" w:cstheme="minorHAnsi"/>
                <w:color w:val="1B1B1B"/>
              </w:rPr>
              <w:t>No matter how someone packages a job offer, take these steps to </w:t>
            </w:r>
            <w:hyperlink r:id="rId27" w:anchor="avoid" w:history="1">
              <w:r w:rsidRPr="00B62DDC">
                <w:rPr>
                  <w:rFonts w:eastAsia="Times New Roman" w:cstheme="minorHAnsi"/>
                  <w:color w:val="005EA2"/>
                  <w:u w:val="single"/>
                </w:rPr>
                <w:t>avoid a scam</w:t>
              </w:r>
            </w:hyperlink>
            <w:r w:rsidRPr="00B62DDC">
              <w:rPr>
                <w:rFonts w:eastAsia="Times New Roman" w:cstheme="minorHAnsi"/>
                <w:color w:val="1B1B1B"/>
              </w:rPr>
              <w:t>:</w:t>
            </w:r>
          </w:p>
          <w:p w14:paraId="747881FB" w14:textId="77777777" w:rsidR="00286BD0" w:rsidRPr="00B62DDC" w:rsidRDefault="00286BD0" w:rsidP="00286BD0">
            <w:pPr>
              <w:numPr>
                <w:ilvl w:val="0"/>
                <w:numId w:val="33"/>
              </w:numPr>
              <w:shd w:val="clear" w:color="auto" w:fill="FFFFFF"/>
              <w:spacing w:before="100" w:beforeAutospacing="1" w:after="60"/>
              <w:rPr>
                <w:rFonts w:eastAsia="Times New Roman" w:cstheme="minorHAnsi"/>
                <w:color w:val="1B1B1B"/>
              </w:rPr>
            </w:pPr>
            <w:proofErr w:type="gramStart"/>
            <w:r w:rsidRPr="00B62DDC">
              <w:rPr>
                <w:rFonts w:eastAsia="Times New Roman" w:cstheme="minorHAnsi"/>
                <w:b/>
                <w:bCs/>
                <w:color w:val="1B1B1B"/>
              </w:rPr>
              <w:t>Search</w:t>
            </w:r>
            <w:proofErr w:type="gramEnd"/>
            <w:r w:rsidRPr="00B62DDC">
              <w:rPr>
                <w:rFonts w:eastAsia="Times New Roman" w:cstheme="minorHAnsi"/>
                <w:b/>
                <w:bCs/>
                <w:color w:val="1B1B1B"/>
              </w:rPr>
              <w:t xml:space="preserve"> the employer online. </w:t>
            </w:r>
            <w:r w:rsidRPr="00B62DDC">
              <w:rPr>
                <w:rFonts w:eastAsia="Times New Roman" w:cstheme="minorHAnsi"/>
                <w:color w:val="1B1B1B"/>
              </w:rPr>
              <w:t>Look up the name of the company or the person who’s hiring you, plus the words “scam,” “review,” or “complaint.” If others say they’ve been scammed by that company or person, walk away.</w:t>
            </w:r>
          </w:p>
          <w:p w14:paraId="4E1F7477" w14:textId="77777777" w:rsidR="00286BD0" w:rsidRPr="00B62DDC" w:rsidRDefault="00286BD0" w:rsidP="00286BD0">
            <w:pPr>
              <w:numPr>
                <w:ilvl w:val="0"/>
                <w:numId w:val="33"/>
              </w:numPr>
              <w:shd w:val="clear" w:color="auto" w:fill="FFFFFF"/>
              <w:spacing w:before="100" w:beforeAutospacing="1" w:after="60"/>
              <w:rPr>
                <w:rFonts w:eastAsia="Times New Roman" w:cstheme="minorHAnsi"/>
                <w:color w:val="1B1B1B"/>
              </w:rPr>
            </w:pPr>
            <w:r w:rsidRPr="00B62DDC">
              <w:rPr>
                <w:rFonts w:eastAsia="Times New Roman" w:cstheme="minorHAnsi"/>
                <w:b/>
                <w:bCs/>
                <w:color w:val="1B1B1B"/>
              </w:rPr>
              <w:t>Talk with someone you trust.</w:t>
            </w:r>
            <w:r w:rsidRPr="00B62DDC">
              <w:rPr>
                <w:rFonts w:eastAsia="Times New Roman" w:cstheme="minorHAnsi"/>
                <w:color w:val="1B1B1B"/>
              </w:rPr>
              <w:t> Describe the offer to them. What do they think? This also helps give you vital time to think about the offer.</w:t>
            </w:r>
          </w:p>
          <w:p w14:paraId="27C3E3DB" w14:textId="77777777" w:rsidR="00286BD0" w:rsidRPr="00B62DDC" w:rsidRDefault="00286BD0" w:rsidP="00286BD0">
            <w:pPr>
              <w:numPr>
                <w:ilvl w:val="0"/>
                <w:numId w:val="33"/>
              </w:numPr>
              <w:shd w:val="clear" w:color="auto" w:fill="FFFFFF"/>
              <w:spacing w:before="100" w:beforeAutospacing="1"/>
              <w:rPr>
                <w:rFonts w:eastAsia="Times New Roman" w:cstheme="minorHAnsi"/>
                <w:color w:val="1B1B1B"/>
              </w:rPr>
            </w:pPr>
            <w:r w:rsidRPr="00B62DDC">
              <w:rPr>
                <w:rFonts w:eastAsia="Times New Roman" w:cstheme="minorHAnsi"/>
                <w:b/>
                <w:bCs/>
                <w:color w:val="1B1B1B"/>
              </w:rPr>
              <w:t>If you think you’ve already shared personal information, </w:t>
            </w:r>
            <w:r w:rsidRPr="00B62DDC">
              <w:rPr>
                <w:rFonts w:eastAsia="Times New Roman" w:cstheme="minorHAnsi"/>
                <w:color w:val="1B1B1B"/>
              </w:rPr>
              <w:t>go to </w:t>
            </w:r>
            <w:hyperlink r:id="rId28" w:history="1">
              <w:r w:rsidRPr="00B62DDC">
                <w:rPr>
                  <w:rFonts w:eastAsia="Times New Roman" w:cstheme="minorHAnsi"/>
                  <w:color w:val="005EA2"/>
                  <w:u w:val="single"/>
                </w:rPr>
                <w:t>IdentityTheft.gov/steps</w:t>
              </w:r>
            </w:hyperlink>
            <w:r w:rsidRPr="00B62DDC">
              <w:rPr>
                <w:rFonts w:eastAsia="Times New Roman" w:cstheme="minorHAnsi"/>
                <w:color w:val="1B1B1B"/>
              </w:rPr>
              <w:t> to get advice on how to protect yourself before identity theft happens.</w:t>
            </w:r>
          </w:p>
          <w:p w14:paraId="21090E3E" w14:textId="77777777" w:rsidR="00286BD0" w:rsidRPr="00B62DDC" w:rsidRDefault="00286BD0" w:rsidP="00985302">
            <w:pPr>
              <w:shd w:val="clear" w:color="auto" w:fill="FFFFFF"/>
              <w:spacing w:before="100" w:beforeAutospacing="1"/>
              <w:rPr>
                <w:rFonts w:eastAsia="Times New Roman" w:cstheme="minorHAnsi"/>
                <w:color w:val="1B1B1B"/>
              </w:rPr>
            </w:pPr>
            <w:proofErr w:type="gramStart"/>
            <w:r w:rsidRPr="00B62DDC">
              <w:rPr>
                <w:rFonts w:eastAsia="Times New Roman" w:cstheme="minorHAnsi"/>
                <w:color w:val="1B1B1B"/>
              </w:rPr>
              <w:t>Reshipping</w:t>
            </w:r>
            <w:proofErr w:type="gramEnd"/>
            <w:r w:rsidRPr="00B62DDC">
              <w:rPr>
                <w:rFonts w:eastAsia="Times New Roman" w:cstheme="minorHAnsi"/>
                <w:color w:val="1B1B1B"/>
              </w:rPr>
              <w:t xml:space="preserve"> goods is never a real job. Report these scams to the FTC at </w:t>
            </w:r>
            <w:hyperlink r:id="rId29" w:history="1">
              <w:r w:rsidRPr="00B62DDC">
                <w:rPr>
                  <w:rFonts w:eastAsia="Times New Roman" w:cstheme="minorHAnsi"/>
                  <w:color w:val="005EA2"/>
                  <w:u w:val="single"/>
                </w:rPr>
                <w:t>ReportFraud.ftc.gov</w:t>
              </w:r>
            </w:hyperlink>
            <w:r w:rsidRPr="00B62DDC">
              <w:rPr>
                <w:rFonts w:eastAsia="Times New Roman" w:cstheme="minorHAnsi"/>
                <w:color w:val="1B1B1B"/>
              </w:rPr>
              <w:t> and the U.S. Postal Inspection Service at </w:t>
            </w:r>
            <w:hyperlink r:id="rId30" w:history="1">
              <w:r w:rsidRPr="00B62DDC">
                <w:rPr>
                  <w:rFonts w:eastAsia="Times New Roman" w:cstheme="minorHAnsi"/>
                  <w:color w:val="005EA2"/>
                  <w:u w:val="single"/>
                </w:rPr>
                <w:t>uspis.gov/report</w:t>
              </w:r>
            </w:hyperlink>
            <w:r w:rsidRPr="00B62DDC">
              <w:rPr>
                <w:rFonts w:eastAsia="Times New Roman" w:cstheme="minorHAnsi"/>
                <w:color w:val="1B1B1B"/>
              </w:rPr>
              <w:t>.</w:t>
            </w:r>
          </w:p>
          <w:p w14:paraId="73743783" w14:textId="77777777" w:rsidR="00286BD0" w:rsidRPr="00B62DDC" w:rsidRDefault="00286BD0" w:rsidP="00985302">
            <w:pPr>
              <w:shd w:val="clear" w:color="auto" w:fill="FFFFFF"/>
              <w:rPr>
                <w:rFonts w:eastAsia="Times New Roman" w:cstheme="minorHAnsi"/>
                <w:color w:val="1B1B1B"/>
              </w:rPr>
            </w:pPr>
            <w:r w:rsidRPr="00B62DDC">
              <w:rPr>
                <w:rFonts w:eastAsia="Times New Roman" w:cstheme="minorHAnsi"/>
                <w:color w:val="1B1B1B"/>
              </w:rPr>
              <w:t>Topics</w:t>
            </w:r>
          </w:p>
          <w:p w14:paraId="4C82985F" w14:textId="77777777" w:rsidR="00286BD0" w:rsidRPr="00B62DDC" w:rsidRDefault="00286BD0" w:rsidP="00985302">
            <w:pPr>
              <w:shd w:val="clear" w:color="auto" w:fill="FFFFFF"/>
              <w:rPr>
                <w:rFonts w:eastAsia="Times New Roman" w:cstheme="minorHAnsi"/>
                <w:color w:val="1B1B1B"/>
              </w:rPr>
            </w:pPr>
            <w:r w:rsidRPr="00B62DDC">
              <w:rPr>
                <w:rFonts w:eastAsia="Times New Roman" w:cstheme="minorHAnsi"/>
                <w:color w:val="1B1B1B"/>
              </w:rPr>
              <w:t> </w:t>
            </w:r>
          </w:p>
          <w:p w14:paraId="491C510C" w14:textId="77777777" w:rsidR="00286BD0" w:rsidRPr="00B62DDC" w:rsidRDefault="00286BD0" w:rsidP="00985302">
            <w:pPr>
              <w:shd w:val="clear" w:color="auto" w:fill="FFFFFF"/>
              <w:rPr>
                <w:rFonts w:eastAsia="Times New Roman" w:cstheme="minorHAnsi"/>
                <w:color w:val="1B1B1B"/>
              </w:rPr>
            </w:pPr>
            <w:hyperlink r:id="rId31" w:history="1">
              <w:r w:rsidRPr="00B62DDC">
                <w:rPr>
                  <w:rFonts w:eastAsia="Times New Roman" w:cstheme="minorHAnsi"/>
                  <w:color w:val="005EA2"/>
                  <w:u w:val="single"/>
                </w:rPr>
                <w:t>Jobs and Making Money</w:t>
              </w:r>
            </w:hyperlink>
          </w:p>
          <w:p w14:paraId="5E5E1FB6" w14:textId="77777777" w:rsidR="00286BD0" w:rsidRPr="00B62DDC" w:rsidRDefault="00286BD0" w:rsidP="00985302">
            <w:pPr>
              <w:shd w:val="clear" w:color="auto" w:fill="FFFFFF"/>
              <w:rPr>
                <w:rFonts w:eastAsia="Times New Roman" w:cstheme="minorHAnsi"/>
                <w:color w:val="1B1B1B"/>
              </w:rPr>
            </w:pPr>
            <w:r w:rsidRPr="00B62DDC">
              <w:rPr>
                <w:rFonts w:eastAsia="Times New Roman" w:cstheme="minorHAnsi"/>
                <w:color w:val="1B1B1B"/>
              </w:rPr>
              <w:t>Scams</w:t>
            </w:r>
          </w:p>
          <w:p w14:paraId="5BF3679A" w14:textId="77777777" w:rsidR="00286BD0" w:rsidRPr="00B62DDC" w:rsidRDefault="00286BD0" w:rsidP="00985302">
            <w:pPr>
              <w:shd w:val="clear" w:color="auto" w:fill="FFFFFF"/>
              <w:rPr>
                <w:rFonts w:eastAsia="Times New Roman" w:cstheme="minorHAnsi"/>
                <w:color w:val="1B1B1B"/>
              </w:rPr>
            </w:pPr>
            <w:r w:rsidRPr="00B62DDC">
              <w:rPr>
                <w:rFonts w:eastAsia="Times New Roman" w:cstheme="minorHAnsi"/>
                <w:color w:val="1B1B1B"/>
              </w:rPr>
              <w:t> </w:t>
            </w:r>
          </w:p>
          <w:p w14:paraId="23DA5AA9" w14:textId="77777777" w:rsidR="00286BD0" w:rsidRPr="00B62DDC" w:rsidRDefault="00286BD0" w:rsidP="00985302">
            <w:pPr>
              <w:shd w:val="clear" w:color="auto" w:fill="FFFFFF"/>
              <w:rPr>
                <w:rFonts w:eastAsia="Times New Roman" w:cstheme="minorHAnsi"/>
                <w:color w:val="1B1B1B"/>
              </w:rPr>
            </w:pPr>
            <w:hyperlink r:id="rId32" w:history="1">
              <w:r w:rsidRPr="00B62DDC">
                <w:rPr>
                  <w:rFonts w:eastAsia="Times New Roman" w:cstheme="minorHAnsi"/>
                  <w:color w:val="005EA2"/>
                  <w:u w:val="single"/>
                </w:rPr>
                <w:t>Job Scams</w:t>
              </w:r>
            </w:hyperlink>
          </w:p>
          <w:p w14:paraId="0AD4C576" w14:textId="77777777" w:rsidR="00286BD0" w:rsidRPr="00B62DDC" w:rsidRDefault="00286BD0" w:rsidP="00985302">
            <w:pPr>
              <w:shd w:val="clear" w:color="auto" w:fill="FFFFFF"/>
              <w:rPr>
                <w:rFonts w:eastAsia="Times New Roman" w:cstheme="minorHAnsi"/>
                <w:color w:val="1B1B1B"/>
              </w:rPr>
            </w:pPr>
            <w:r w:rsidRPr="00B62DDC">
              <w:rPr>
                <w:rFonts w:eastAsia="Times New Roman" w:cstheme="minorHAnsi"/>
                <w:color w:val="1B1B1B"/>
              </w:rPr>
              <w:t> </w:t>
            </w:r>
          </w:p>
          <w:p w14:paraId="0AECD499" w14:textId="4C4CC6EF" w:rsidR="00286BD0" w:rsidRPr="00314343" w:rsidRDefault="00286BD0" w:rsidP="00314343">
            <w:pPr>
              <w:shd w:val="clear" w:color="auto" w:fill="FFFFFF"/>
              <w:rPr>
                <w:rFonts w:eastAsia="Times New Roman" w:cstheme="minorHAnsi"/>
                <w:color w:val="1B1B1B"/>
              </w:rPr>
            </w:pPr>
            <w:hyperlink r:id="rId33" w:history="1">
              <w:r w:rsidRPr="00B62DDC">
                <w:rPr>
                  <w:rFonts w:eastAsia="Times New Roman" w:cstheme="minorHAnsi"/>
                  <w:color w:val="005EA2"/>
                  <w:u w:val="single"/>
                </w:rPr>
                <w:t>Money-Making Opportunity Scams</w:t>
              </w:r>
            </w:hyperlink>
          </w:p>
        </w:tc>
      </w:tr>
    </w:tbl>
    <w:p w14:paraId="5B4E4BBF" w14:textId="77777777" w:rsidR="00286BD0" w:rsidRPr="00B62DDC" w:rsidRDefault="00286BD0" w:rsidP="00286BD0">
      <w:pPr>
        <w:rPr>
          <w:rFonts w:ascii="Verdana" w:hAnsi="Verdana"/>
          <w:b/>
          <w:bCs/>
          <w:lang w:val="fr-FR"/>
        </w:rPr>
      </w:pPr>
    </w:p>
    <w:p w14:paraId="710C0174" w14:textId="6ED2751F" w:rsidR="00286BD0" w:rsidRPr="001E0B8E" w:rsidRDefault="00286BD0" w:rsidP="00286BD0">
      <w:pPr>
        <w:tabs>
          <w:tab w:val="left" w:pos="1800"/>
        </w:tabs>
        <w:rPr>
          <w:rFonts w:ascii="Verdana" w:hAnsi="Verdana"/>
          <w:b/>
          <w:bCs/>
        </w:rPr>
      </w:pPr>
      <w:r w:rsidRPr="001E0B8E">
        <w:rPr>
          <w:rFonts w:ascii="Verdana" w:hAnsi="Verdana"/>
          <w:b/>
          <w:bCs/>
        </w:rPr>
        <w:t>Lending</w:t>
      </w:r>
    </w:p>
    <w:tbl>
      <w:tblPr>
        <w:tblStyle w:val="TableGrid"/>
        <w:tblW w:w="0" w:type="auto"/>
        <w:tblLook w:val="04A0" w:firstRow="1" w:lastRow="0" w:firstColumn="1" w:lastColumn="0" w:noHBand="0" w:noVBand="1"/>
      </w:tblPr>
      <w:tblGrid>
        <w:gridCol w:w="978"/>
        <w:gridCol w:w="8372"/>
      </w:tblGrid>
      <w:tr w:rsidR="00286BD0" w:rsidRPr="004E01AF" w14:paraId="16CA1A61" w14:textId="77777777" w:rsidTr="00985302">
        <w:tc>
          <w:tcPr>
            <w:tcW w:w="978" w:type="dxa"/>
            <w:shd w:val="clear" w:color="auto" w:fill="FFFF00"/>
          </w:tcPr>
          <w:p w14:paraId="74A0BE24" w14:textId="77777777" w:rsidR="00286BD0" w:rsidRPr="001E0B8E" w:rsidRDefault="00286BD0" w:rsidP="00985302">
            <w:pPr>
              <w:tabs>
                <w:tab w:val="left" w:pos="500"/>
              </w:tabs>
              <w:rPr>
                <w:color w:val="00B050"/>
              </w:rPr>
            </w:pPr>
          </w:p>
        </w:tc>
        <w:tc>
          <w:tcPr>
            <w:tcW w:w="8372" w:type="dxa"/>
          </w:tcPr>
          <w:p w14:paraId="41D9FED6" w14:textId="0ABD8B7D" w:rsidR="00286BD0" w:rsidRDefault="00286BD0" w:rsidP="00985302">
            <w:pPr>
              <w:pStyle w:val="NormalWeb"/>
              <w:shd w:val="clear" w:color="auto" w:fill="FFFFFF"/>
              <w:rPr>
                <w:rFonts w:asciiTheme="minorHAnsi" w:hAnsiTheme="minorHAnsi" w:cstheme="minorHAnsi"/>
                <w:sz w:val="22"/>
                <w:szCs w:val="22"/>
              </w:rPr>
            </w:pPr>
            <w:r>
              <w:rPr>
                <w:rFonts w:asciiTheme="minorHAnsi" w:eastAsia="Calibri" w:hAnsiTheme="minorHAnsi" w:cstheme="minorHAnsi"/>
                <w:b/>
                <w:bCs/>
                <w:color w:val="000000"/>
                <w:sz w:val="22"/>
                <w:szCs w:val="22"/>
              </w:rPr>
              <w:t>Joint</w:t>
            </w:r>
            <w:r w:rsidRPr="00D61484">
              <w:rPr>
                <w:rFonts w:asciiTheme="minorHAnsi" w:eastAsia="Calibri" w:hAnsiTheme="minorHAnsi" w:cstheme="minorHAnsi"/>
                <w:color w:val="000000"/>
                <w:sz w:val="22"/>
                <w:szCs w:val="22"/>
              </w:rPr>
              <w:t xml:space="preserve"> </w:t>
            </w:r>
            <w:hyperlink r:id="rId34" w:history="1">
              <w:r w:rsidRPr="008C3A57">
                <w:rPr>
                  <w:rStyle w:val="Hyperlink"/>
                  <w:rFonts w:asciiTheme="minorHAnsi" w:eastAsia="Calibri" w:hAnsiTheme="minorHAnsi" w:cstheme="minorHAnsi"/>
                  <w:sz w:val="22"/>
                  <w:szCs w:val="22"/>
                </w:rPr>
                <w:t>Statement on OCC and FDIC Withdrawal from the Interagency Leveraged Lending Guidance Issuances</w:t>
              </w:r>
            </w:hyperlink>
            <w:r w:rsidRPr="008C3A57">
              <w:rPr>
                <w:rFonts w:asciiTheme="minorHAnsi" w:eastAsia="Calibri" w:hAnsiTheme="minorHAnsi" w:cstheme="minorHAnsi"/>
                <w:color w:val="000000"/>
                <w:sz w:val="22"/>
                <w:szCs w:val="22"/>
              </w:rPr>
              <w:t xml:space="preserve"> </w:t>
            </w:r>
            <w:r w:rsidRPr="00D61484">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12</w:t>
            </w:r>
            <w:r w:rsidRPr="00D61484">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05</w:t>
            </w:r>
            <w:r w:rsidRPr="00D61484">
              <w:rPr>
                <w:rFonts w:asciiTheme="minorHAnsi" w:eastAsia="Calibri" w:hAnsiTheme="minorHAnsi" w:cstheme="minorHAnsi"/>
                <w:color w:val="000000"/>
                <w:sz w:val="22"/>
                <w:szCs w:val="22"/>
              </w:rPr>
              <w:t>/2025) –</w:t>
            </w:r>
            <w:r w:rsidRPr="00D61484">
              <w:rPr>
                <w:rFonts w:asciiTheme="minorHAnsi" w:hAnsiTheme="minorHAnsi" w:cstheme="minorHAnsi"/>
                <w:sz w:val="22"/>
                <w:szCs w:val="22"/>
              </w:rPr>
              <w:t xml:space="preserve"> </w:t>
            </w:r>
            <w:r w:rsidRPr="008C3A57">
              <w:rPr>
                <w:rFonts w:asciiTheme="minorHAnsi" w:hAnsiTheme="minorHAnsi" w:cstheme="minorHAnsi"/>
                <w:sz w:val="22"/>
                <w:szCs w:val="22"/>
              </w:rPr>
              <w:t>WASHINGTON—The Office of the Comptroller of the Currency and the Federal Deposit Insurance Corporation (collectively “the agencies”) are rescinding the “Interagency Guidance on Leveraged Lending” (“2013 Guidance”), dated March 21, 2013, and the “Frequently Asked Questions for Implementing March 2013 Interagency Guidance on Leveraged Lending” (“2014 FAQs”), dated November 7, 2014. The agencies expect banks to manage leveraged lending exposures consistent with general principles for safe and sound lending.</w:t>
            </w:r>
          </w:p>
          <w:p w14:paraId="631231BB" w14:textId="77777777" w:rsidR="00286BD0" w:rsidRPr="008C3A57" w:rsidRDefault="00286BD0" w:rsidP="00985302">
            <w:pPr>
              <w:pStyle w:val="NormalWeb"/>
              <w:shd w:val="clear" w:color="auto" w:fill="FFFFFF"/>
              <w:rPr>
                <w:rFonts w:asciiTheme="minorHAnsi" w:hAnsiTheme="minorHAnsi" w:cstheme="minorHAnsi"/>
                <w:sz w:val="22"/>
                <w:szCs w:val="22"/>
              </w:rPr>
            </w:pPr>
          </w:p>
          <w:p w14:paraId="4C0AB28B"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Background</w:t>
            </w:r>
          </w:p>
          <w:p w14:paraId="51704FA5" w14:textId="77777777" w:rsidR="00286BD0" w:rsidRDefault="00286BD0" w:rsidP="00985302">
            <w:pPr>
              <w:pStyle w:val="NormalWeb"/>
              <w:shd w:val="clear" w:color="auto" w:fill="FFFFFF"/>
              <w:rPr>
                <w:rFonts w:asciiTheme="minorHAnsi" w:hAnsiTheme="minorHAnsi" w:cstheme="minorHAnsi"/>
                <w:sz w:val="22"/>
                <w:szCs w:val="22"/>
              </w:rPr>
            </w:pPr>
          </w:p>
          <w:p w14:paraId="5CAC3BEA"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Leveraged lending plays a vital role in the U.S. financial system. It provides a wide range of businesses, including those that are highly indebted or highly leveraged or that have low obligor ratings, with access to capital for business transformations, including mergers, acquisitions, re-capitalizations, refinancings, and equity buyouts, as well as for business and product line buildouts and expansions. It enables businesses to grow in a manner and at a rate that may not otherwise be possible. This growth helps fuel the nation’s economy, contributing to innovation and job creation.</w:t>
            </w:r>
          </w:p>
          <w:p w14:paraId="56836B14" w14:textId="77777777" w:rsidR="00286BD0" w:rsidRPr="008C3A57" w:rsidRDefault="00286BD0" w:rsidP="00985302">
            <w:pPr>
              <w:pStyle w:val="NormalWeb"/>
              <w:shd w:val="clear" w:color="auto" w:fill="FFFFFF"/>
              <w:rPr>
                <w:rFonts w:asciiTheme="minorHAnsi" w:hAnsiTheme="minorHAnsi" w:cstheme="minorHAnsi"/>
                <w:sz w:val="22"/>
                <w:szCs w:val="22"/>
              </w:rPr>
            </w:pPr>
          </w:p>
          <w:p w14:paraId="0AAFCDC3"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Banks traditionally participate in the leveraged lending market by providing or arranging financing and by facilitating the syndication process. Banks also have indirect exposure to leveraged borrowers via lending to business development companies and certain debt funds, as well as investments in collateralized loan obligations that contain securitized leveraged loans.</w:t>
            </w:r>
          </w:p>
          <w:p w14:paraId="1575701C" w14:textId="77777777" w:rsidR="00286BD0" w:rsidRPr="008C3A57" w:rsidRDefault="00286BD0" w:rsidP="00985302">
            <w:pPr>
              <w:pStyle w:val="NormalWeb"/>
              <w:shd w:val="clear" w:color="auto" w:fill="FFFFFF"/>
              <w:rPr>
                <w:rFonts w:asciiTheme="minorHAnsi" w:hAnsiTheme="minorHAnsi" w:cstheme="minorHAnsi"/>
                <w:sz w:val="22"/>
                <w:szCs w:val="22"/>
              </w:rPr>
            </w:pPr>
          </w:p>
          <w:p w14:paraId="555A9379"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The 2013 Guidance and 2014 FAQs were overly restrictive and impeded banks’ application to leveraged lending of the risk management principles that guide their other business decisions. This resulted in a significant drop in leveraged lending market share by regulated banks and significant growth in leveraged lending market share by nonbanks, pushing this type of lending outside of the regulatory perimeter. In addition, the guidance was overly broad and captured certain types of loans that were not intended to be covered, including loans to investment-grade companies.</w:t>
            </w:r>
          </w:p>
          <w:p w14:paraId="0ED876BB" w14:textId="77777777" w:rsidR="00286BD0" w:rsidRPr="008C3A57" w:rsidRDefault="00286BD0" w:rsidP="00985302">
            <w:pPr>
              <w:pStyle w:val="NormalWeb"/>
              <w:shd w:val="clear" w:color="auto" w:fill="FFFFFF"/>
              <w:rPr>
                <w:rFonts w:asciiTheme="minorHAnsi" w:hAnsiTheme="minorHAnsi" w:cstheme="minorHAnsi"/>
                <w:sz w:val="22"/>
                <w:szCs w:val="22"/>
              </w:rPr>
            </w:pPr>
          </w:p>
          <w:p w14:paraId="214F9B62"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Moreover, the U.S. Government Accountability Office found that the 2013 Guidance was a rule for the purposes of the Congressional Review Act that was required to be submitted to Congress for review. However, the agencies never submitted the 2013 Guidance to Congress.</w:t>
            </w:r>
          </w:p>
          <w:p w14:paraId="0608C1F7" w14:textId="77777777" w:rsidR="00286BD0" w:rsidRPr="008C3A57" w:rsidRDefault="00286BD0" w:rsidP="00985302">
            <w:pPr>
              <w:pStyle w:val="NormalWeb"/>
              <w:shd w:val="clear" w:color="auto" w:fill="FFFFFF"/>
              <w:rPr>
                <w:rFonts w:asciiTheme="minorHAnsi" w:hAnsiTheme="minorHAnsi" w:cstheme="minorHAnsi"/>
                <w:sz w:val="22"/>
                <w:szCs w:val="22"/>
              </w:rPr>
            </w:pPr>
          </w:p>
          <w:p w14:paraId="1905DF86"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For these reasons, the agencies are rescinding the 2013 Guidance and the 2014 FAQs. In place of these issuances, banks should apply the agencies’ general principles for prudent risk management of commercial loans and other types of lending to their leveraged lending activities. In general, banks should consider the following general principles for safe and sound lending when managing the risks associated with leveraged lending:</w:t>
            </w:r>
          </w:p>
          <w:p w14:paraId="115CD367" w14:textId="77777777" w:rsidR="00286BD0" w:rsidRPr="008C3A57" w:rsidRDefault="00286BD0" w:rsidP="00985302">
            <w:pPr>
              <w:pStyle w:val="NormalWeb"/>
              <w:shd w:val="clear" w:color="auto" w:fill="FFFFFF"/>
              <w:rPr>
                <w:rFonts w:asciiTheme="minorHAnsi" w:hAnsiTheme="minorHAnsi" w:cstheme="minorHAnsi"/>
                <w:sz w:val="22"/>
                <w:szCs w:val="22"/>
              </w:rPr>
            </w:pPr>
          </w:p>
          <w:p w14:paraId="3126C0FA"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1. Banks involved in leveraged lending are exposed to core financial risks—primarily credit and liquidity risks—which may be more pronounced given the activity and profile of the borrowers. The key to safe and sound banking is effectively managing these risks. A bank should manage the risks associated with its leveraged lending activities and tailor its risk management practices based on the quantity of the risk inherent in such activities.</w:t>
            </w:r>
          </w:p>
          <w:p w14:paraId="36C61741" w14:textId="77777777" w:rsidR="00286BD0" w:rsidRPr="008C3A57" w:rsidRDefault="00286BD0" w:rsidP="00985302">
            <w:pPr>
              <w:pStyle w:val="NormalWeb"/>
              <w:shd w:val="clear" w:color="auto" w:fill="FFFFFF"/>
              <w:rPr>
                <w:rFonts w:asciiTheme="minorHAnsi" w:hAnsiTheme="minorHAnsi" w:cstheme="minorHAnsi"/>
                <w:sz w:val="22"/>
                <w:szCs w:val="22"/>
              </w:rPr>
            </w:pPr>
          </w:p>
          <w:p w14:paraId="6876E9AF" w14:textId="77777777" w:rsidR="00286BD0" w:rsidRPr="008C3A57"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2. A bank should have a clearly defined risk appetite that is reasonable and reflects the aggregate level and types of risk it is willing and able to assume to achieve its strategic objectives. A bank’s leveraged lending activities should clearly align with this risk appetite.</w:t>
            </w:r>
          </w:p>
          <w:p w14:paraId="34EFCCF2"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3. Each bank should have effective risk management and controls for transactions in its pipeline, including loans to be held and those to be distributed.</w:t>
            </w:r>
          </w:p>
          <w:p w14:paraId="6E9628BE" w14:textId="77777777" w:rsidR="00286BD0" w:rsidRPr="008C3A57" w:rsidRDefault="00286BD0" w:rsidP="00985302">
            <w:pPr>
              <w:pStyle w:val="NormalWeb"/>
              <w:shd w:val="clear" w:color="auto" w:fill="FFFFFF"/>
              <w:rPr>
                <w:rFonts w:asciiTheme="minorHAnsi" w:hAnsiTheme="minorHAnsi" w:cstheme="minorHAnsi"/>
                <w:sz w:val="22"/>
                <w:szCs w:val="22"/>
              </w:rPr>
            </w:pPr>
          </w:p>
          <w:p w14:paraId="11A5F025"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4. Each bank should determine its own definition of a “leveraged loan.” A bank’s application of a bank-wide, consistent definition supports its ability to identify, measure, monitor, and control its aggregate exposure to leveraged lending and to determine adherence to its risk appetite and concentration limits, including for indirect exposures.</w:t>
            </w:r>
          </w:p>
          <w:p w14:paraId="25FA7D4E" w14:textId="77777777" w:rsidR="00286BD0" w:rsidRPr="008C3A57" w:rsidRDefault="00286BD0" w:rsidP="00985302">
            <w:pPr>
              <w:pStyle w:val="NormalWeb"/>
              <w:shd w:val="clear" w:color="auto" w:fill="FFFFFF"/>
              <w:rPr>
                <w:rFonts w:asciiTheme="minorHAnsi" w:hAnsiTheme="minorHAnsi" w:cstheme="minorHAnsi"/>
                <w:sz w:val="22"/>
                <w:szCs w:val="22"/>
              </w:rPr>
            </w:pPr>
          </w:p>
          <w:p w14:paraId="15A5E637"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 xml:space="preserve">5. A bank’s underwriting criteria should consider a loan’s purpose and sources of repayment and the capacity to de-lever over a reasonable period. Given the risk profiles of </w:t>
            </w:r>
            <w:r w:rsidRPr="008C3A57">
              <w:rPr>
                <w:rFonts w:asciiTheme="minorHAnsi" w:hAnsiTheme="minorHAnsi" w:cstheme="minorHAnsi"/>
                <w:sz w:val="22"/>
                <w:szCs w:val="22"/>
              </w:rPr>
              <w:lastRenderedPageBreak/>
              <w:t>leveraged lending transactions, underwriting criteria should be consistently applied to these transactions.</w:t>
            </w:r>
          </w:p>
          <w:p w14:paraId="187D8D65" w14:textId="77777777" w:rsidR="00286BD0" w:rsidRPr="008C3A57" w:rsidRDefault="00286BD0" w:rsidP="00985302">
            <w:pPr>
              <w:pStyle w:val="NormalWeb"/>
              <w:shd w:val="clear" w:color="auto" w:fill="FFFFFF"/>
              <w:rPr>
                <w:rFonts w:asciiTheme="minorHAnsi" w:hAnsiTheme="minorHAnsi" w:cstheme="minorHAnsi"/>
                <w:sz w:val="22"/>
                <w:szCs w:val="22"/>
              </w:rPr>
            </w:pPr>
          </w:p>
          <w:p w14:paraId="23A62520"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6. Because leveraged borrowers start with high debt relative to cash flow, a bank should conduct an analysis of a leveraged borrower’s past and current performance compared with projections, as well as the assumptions on which the projections are based.</w:t>
            </w:r>
          </w:p>
          <w:p w14:paraId="37EAF067" w14:textId="77777777" w:rsidR="00286BD0" w:rsidRPr="008C3A57" w:rsidRDefault="00286BD0" w:rsidP="00985302">
            <w:pPr>
              <w:pStyle w:val="NormalWeb"/>
              <w:shd w:val="clear" w:color="auto" w:fill="FFFFFF"/>
              <w:rPr>
                <w:rFonts w:asciiTheme="minorHAnsi" w:hAnsiTheme="minorHAnsi" w:cstheme="minorHAnsi"/>
                <w:sz w:val="22"/>
                <w:szCs w:val="22"/>
              </w:rPr>
            </w:pPr>
          </w:p>
          <w:p w14:paraId="4B156699"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 xml:space="preserve">7. Because leveraged borrowers generally depend on access to </w:t>
            </w:r>
            <w:proofErr w:type="gramStart"/>
            <w:r w:rsidRPr="008C3A57">
              <w:rPr>
                <w:rFonts w:asciiTheme="minorHAnsi" w:hAnsiTheme="minorHAnsi" w:cstheme="minorHAnsi"/>
                <w:sz w:val="22"/>
                <w:szCs w:val="22"/>
              </w:rPr>
              <w:t>the capital</w:t>
            </w:r>
            <w:proofErr w:type="gramEnd"/>
            <w:r w:rsidRPr="008C3A57">
              <w:rPr>
                <w:rFonts w:asciiTheme="minorHAnsi" w:hAnsiTheme="minorHAnsi" w:cstheme="minorHAnsi"/>
                <w:sz w:val="22"/>
                <w:szCs w:val="22"/>
              </w:rPr>
              <w:t xml:space="preserve"> markets or banks for refinancing, a bank should monitor a leveraged loan throughout its life cycle to assess the risk that refinancing is unavailable and to appropriately manage changes to the loan’s risk profile.</w:t>
            </w:r>
          </w:p>
          <w:p w14:paraId="0F0DEADB" w14:textId="77777777" w:rsidR="00286BD0" w:rsidRPr="008C3A57" w:rsidRDefault="00286BD0" w:rsidP="00985302">
            <w:pPr>
              <w:pStyle w:val="NormalWeb"/>
              <w:shd w:val="clear" w:color="auto" w:fill="FFFFFF"/>
              <w:rPr>
                <w:rFonts w:asciiTheme="minorHAnsi" w:hAnsiTheme="minorHAnsi" w:cstheme="minorHAnsi"/>
                <w:sz w:val="22"/>
                <w:szCs w:val="22"/>
              </w:rPr>
            </w:pPr>
          </w:p>
          <w:p w14:paraId="23F77CEC" w14:textId="77777777" w:rsidR="00286BD0"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8. A bank that purchases a participation in a leveraged loan should make a thorough independent evaluation of the transaction and risk involved before committing funds. The same credit assessment and underwriting criteria should be applied as if the bank were originating the loan internally.</w:t>
            </w:r>
          </w:p>
          <w:p w14:paraId="68802766" w14:textId="77777777" w:rsidR="00286BD0" w:rsidRPr="008C3A57" w:rsidRDefault="00286BD0" w:rsidP="00985302">
            <w:pPr>
              <w:pStyle w:val="NormalWeb"/>
              <w:shd w:val="clear" w:color="auto" w:fill="FFFFFF"/>
              <w:rPr>
                <w:rFonts w:asciiTheme="minorHAnsi" w:hAnsiTheme="minorHAnsi" w:cstheme="minorHAnsi"/>
                <w:sz w:val="22"/>
                <w:szCs w:val="22"/>
              </w:rPr>
            </w:pPr>
          </w:p>
          <w:p w14:paraId="177460B4" w14:textId="77777777" w:rsidR="00286BD0" w:rsidRPr="008C3A57"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Examiners will examine banks’ underwriting, review risk ratings, and monitor the adequacy of loan loss reserves in accordance with general principles of safe and sound lending in a manner tailored to the size, complexity, and risk of leveraged lending activities.</w:t>
            </w:r>
          </w:p>
          <w:p w14:paraId="66AE9B67" w14:textId="77777777" w:rsidR="00286BD0" w:rsidRDefault="00286BD0" w:rsidP="00985302">
            <w:pPr>
              <w:pStyle w:val="NormalWeb"/>
              <w:shd w:val="clear" w:color="auto" w:fill="FFFFFF"/>
              <w:rPr>
                <w:rFonts w:asciiTheme="minorHAnsi" w:hAnsiTheme="minorHAnsi" w:cstheme="minorHAnsi"/>
                <w:sz w:val="22"/>
                <w:szCs w:val="22"/>
              </w:rPr>
            </w:pPr>
          </w:p>
          <w:p w14:paraId="538C993B" w14:textId="77777777" w:rsidR="00286BD0" w:rsidRPr="008C3A57" w:rsidRDefault="00286BD0" w:rsidP="00985302">
            <w:pPr>
              <w:pStyle w:val="NormalWeb"/>
              <w:shd w:val="clear" w:color="auto" w:fill="FFFFFF"/>
              <w:rPr>
                <w:rFonts w:asciiTheme="minorHAnsi" w:hAnsiTheme="minorHAnsi" w:cstheme="minorHAnsi"/>
                <w:sz w:val="22"/>
                <w:szCs w:val="22"/>
              </w:rPr>
            </w:pPr>
            <w:r w:rsidRPr="008C3A57">
              <w:rPr>
                <w:rFonts w:asciiTheme="minorHAnsi" w:hAnsiTheme="minorHAnsi" w:cstheme="minorHAnsi"/>
                <w:sz w:val="22"/>
                <w:szCs w:val="22"/>
              </w:rPr>
              <w:t>The agencies will consider issuing additional guidance related to leveraged lending as appropriate. The agencies commit to issuing any further guidance through the notice and comment process.</w:t>
            </w:r>
          </w:p>
          <w:p w14:paraId="53DF4BF7" w14:textId="77777777" w:rsidR="00286BD0" w:rsidRPr="008C3A57" w:rsidRDefault="00286BD0" w:rsidP="00985302">
            <w:pPr>
              <w:pStyle w:val="NormalWeb"/>
              <w:shd w:val="clear" w:color="auto" w:fill="FFFFFF"/>
              <w:rPr>
                <w:rFonts w:asciiTheme="minorHAnsi" w:hAnsiTheme="minorHAnsi" w:cstheme="minorHAnsi"/>
                <w:sz w:val="22"/>
                <w:szCs w:val="22"/>
              </w:rPr>
            </w:pPr>
          </w:p>
          <w:p w14:paraId="1025D787" w14:textId="7E082F59" w:rsidR="00286BD0" w:rsidRPr="00314343" w:rsidRDefault="00286BD0" w:rsidP="00314343">
            <w:pPr>
              <w:rPr>
                <w:rFonts w:eastAsia="Aptos" w:cstheme="minorHAnsi"/>
                <w:b/>
                <w:bCs/>
                <w:i/>
                <w:iCs/>
                <w:color w:val="002060"/>
              </w:rPr>
            </w:pPr>
            <w:r w:rsidRPr="00D61484">
              <w:rPr>
                <w:rFonts w:eastAsia="Aptos" w:cstheme="minorHAnsi"/>
                <w:b/>
                <w:bCs/>
                <w:i/>
                <w:iCs/>
                <w:color w:val="002060"/>
              </w:rPr>
              <w:t xml:space="preserve">Comment: </w:t>
            </w:r>
            <w:r>
              <w:rPr>
                <w:rFonts w:eastAsia="Aptos" w:cstheme="minorHAnsi"/>
                <w:b/>
                <w:bCs/>
                <w:i/>
                <w:iCs/>
                <w:color w:val="002060"/>
              </w:rPr>
              <w:t>This is the second major decision the Fed has opted not to sign onto. The other was the joint OCC and FDIC definition of “unsafe and unsound.” The Fed viewed that proposed</w:t>
            </w:r>
            <w:r w:rsidRPr="00D61484">
              <w:rPr>
                <w:rFonts w:eastAsia="Aptos" w:cstheme="minorHAnsi"/>
                <w:b/>
                <w:bCs/>
                <w:i/>
                <w:iCs/>
                <w:color w:val="002060"/>
              </w:rPr>
              <w:t xml:space="preserve"> </w:t>
            </w:r>
            <w:r w:rsidRPr="002474B1">
              <w:rPr>
                <w:rFonts w:eastAsia="Aptos" w:cstheme="minorHAnsi"/>
                <w:b/>
                <w:bCs/>
                <w:i/>
                <w:iCs/>
                <w:color w:val="002060"/>
              </w:rPr>
              <w:t>definition as too narrow, potentially limiting supervisory tools and underestimating risks</w:t>
            </w:r>
            <w:r>
              <w:rPr>
                <w:rFonts w:eastAsia="Aptos" w:cstheme="minorHAnsi"/>
                <w:b/>
                <w:bCs/>
                <w:i/>
                <w:iCs/>
                <w:color w:val="002060"/>
              </w:rPr>
              <w:t>.</w:t>
            </w:r>
          </w:p>
        </w:tc>
      </w:tr>
      <w:tr w:rsidR="00286BD0" w:rsidRPr="004E01AF" w14:paraId="1A40D0D3" w14:textId="77777777" w:rsidTr="00985302">
        <w:tc>
          <w:tcPr>
            <w:tcW w:w="978" w:type="dxa"/>
          </w:tcPr>
          <w:p w14:paraId="6262C7E3" w14:textId="77777777" w:rsidR="00286BD0" w:rsidRPr="001E0B8E" w:rsidRDefault="00286BD0" w:rsidP="00985302">
            <w:pPr>
              <w:tabs>
                <w:tab w:val="left" w:pos="500"/>
              </w:tabs>
              <w:rPr>
                <w:color w:val="00B050"/>
              </w:rPr>
            </w:pPr>
          </w:p>
        </w:tc>
        <w:tc>
          <w:tcPr>
            <w:tcW w:w="8372" w:type="dxa"/>
          </w:tcPr>
          <w:p w14:paraId="029B48B4" w14:textId="77777777" w:rsidR="00286BD0" w:rsidRDefault="00286BD0" w:rsidP="00985302">
            <w:pPr>
              <w:pStyle w:val="NormalWeb"/>
              <w:shd w:val="clear" w:color="auto" w:fill="FFFFFF"/>
              <w:rPr>
                <w:rFonts w:asciiTheme="minorHAnsi" w:eastAsia="Calibri" w:hAnsiTheme="minorHAnsi" w:cstheme="minorHAnsi"/>
                <w:b/>
                <w:bCs/>
                <w:color w:val="000000"/>
                <w:sz w:val="22"/>
                <w:szCs w:val="22"/>
              </w:rPr>
            </w:pPr>
          </w:p>
        </w:tc>
      </w:tr>
      <w:tr w:rsidR="00286BD0" w:rsidRPr="0000123F" w14:paraId="038A1FD5" w14:textId="77777777" w:rsidTr="00985302">
        <w:tc>
          <w:tcPr>
            <w:tcW w:w="978" w:type="dxa"/>
            <w:shd w:val="clear" w:color="auto" w:fill="00B050"/>
          </w:tcPr>
          <w:p w14:paraId="4397E14E" w14:textId="77777777" w:rsidR="00286BD0" w:rsidRPr="001E0B8E" w:rsidRDefault="00286BD0" w:rsidP="00985302">
            <w:pPr>
              <w:tabs>
                <w:tab w:val="left" w:pos="500"/>
              </w:tabs>
              <w:rPr>
                <w:color w:val="00B050"/>
              </w:rPr>
            </w:pPr>
          </w:p>
        </w:tc>
        <w:tc>
          <w:tcPr>
            <w:tcW w:w="8372" w:type="dxa"/>
          </w:tcPr>
          <w:p w14:paraId="582AF872" w14:textId="08A6B205" w:rsidR="00286BD0" w:rsidRPr="0000123F" w:rsidRDefault="00286BD0" w:rsidP="00314343">
            <w:pPr>
              <w:pStyle w:val="NormalWeb"/>
              <w:shd w:val="clear" w:color="auto" w:fill="FFFFFF"/>
              <w:rPr>
                <w:rFonts w:asciiTheme="minorHAnsi" w:eastAsia="Calibri" w:hAnsiTheme="minorHAnsi" w:cstheme="minorHAnsi"/>
                <w:b/>
                <w:bCs/>
                <w:color w:val="000000"/>
                <w:sz w:val="22"/>
                <w:szCs w:val="22"/>
                <w:lang w:val="fr-FR"/>
              </w:rPr>
            </w:pPr>
            <w:r w:rsidRPr="0000123F">
              <w:rPr>
                <w:rFonts w:asciiTheme="minorHAnsi" w:eastAsia="Calibri" w:hAnsiTheme="minorHAnsi" w:cstheme="minorHAnsi"/>
                <w:b/>
                <w:bCs/>
                <w:color w:val="000000"/>
                <w:sz w:val="22"/>
                <w:szCs w:val="22"/>
              </w:rPr>
              <w:t>FRB</w:t>
            </w:r>
            <w:r w:rsidRPr="0000123F">
              <w:rPr>
                <w:rFonts w:asciiTheme="minorHAnsi" w:eastAsia="Calibri" w:hAnsiTheme="minorHAnsi" w:cstheme="minorHAnsi"/>
                <w:color w:val="000000"/>
                <w:sz w:val="22"/>
                <w:szCs w:val="22"/>
              </w:rPr>
              <w:t xml:space="preserve"> </w:t>
            </w:r>
            <w:hyperlink r:id="rId35" w:history="1">
              <w:r w:rsidRPr="0000123F">
                <w:rPr>
                  <w:rStyle w:val="Hyperlink"/>
                  <w:rFonts w:asciiTheme="minorHAnsi" w:eastAsia="Calibri" w:hAnsiTheme="minorHAnsi" w:cstheme="minorHAnsi"/>
                  <w:sz w:val="22"/>
                  <w:szCs w:val="22"/>
                </w:rPr>
                <w:t>G.19 Consumer Credit</w:t>
              </w:r>
            </w:hyperlink>
            <w:r w:rsidRPr="0000123F">
              <w:rPr>
                <w:rFonts w:asciiTheme="minorHAnsi" w:eastAsia="Calibri" w:hAnsiTheme="minorHAnsi" w:cstheme="minorHAnsi"/>
                <w:color w:val="000000"/>
                <w:sz w:val="22"/>
                <w:szCs w:val="22"/>
              </w:rPr>
              <w:t xml:space="preserve"> (12/05/2025) –</w:t>
            </w:r>
            <w:r w:rsidRPr="0000123F">
              <w:rPr>
                <w:rFonts w:asciiTheme="minorHAnsi" w:hAnsiTheme="minorHAnsi" w:cstheme="minorHAnsi"/>
                <w:sz w:val="22"/>
                <w:szCs w:val="22"/>
              </w:rPr>
              <w:t xml:space="preserve"> October 2025</w:t>
            </w:r>
            <w:r>
              <w:rPr>
                <w:rFonts w:asciiTheme="minorHAnsi" w:hAnsiTheme="minorHAnsi" w:cstheme="minorHAnsi"/>
                <w:sz w:val="22"/>
                <w:szCs w:val="22"/>
              </w:rPr>
              <w:t xml:space="preserve"> - </w:t>
            </w:r>
            <w:r w:rsidRPr="0000123F">
              <w:rPr>
                <w:rFonts w:asciiTheme="minorHAnsi" w:hAnsiTheme="minorHAnsi" w:cstheme="minorHAnsi"/>
                <w:sz w:val="22"/>
                <w:szCs w:val="22"/>
              </w:rPr>
              <w:t>In October, consumer credit increased at a seasonally adjusted annual rate of 2.2 percent. Revolving credit increased at an annual rate of 4.9 percent, while nonrevolving credit increased at an annual rate of 1.2 percent.</w:t>
            </w:r>
          </w:p>
        </w:tc>
      </w:tr>
    </w:tbl>
    <w:p w14:paraId="64F3EFDD" w14:textId="77777777" w:rsidR="00286BD0" w:rsidRPr="004E01AF" w:rsidRDefault="00286BD0" w:rsidP="00286BD0">
      <w:pPr>
        <w:rPr>
          <w:rFonts w:cstheme="minorHAnsi"/>
          <w:b/>
          <w:bCs/>
          <w:lang w:val="fr-FR"/>
        </w:rPr>
      </w:pPr>
    </w:p>
    <w:p w14:paraId="7D45E80B" w14:textId="77777777" w:rsidR="00286BD0" w:rsidRPr="001E0B8E" w:rsidRDefault="00286BD0" w:rsidP="00286BD0">
      <w:pPr>
        <w:rPr>
          <w:rFonts w:ascii="Verdana" w:hAnsi="Verdana"/>
          <w:b/>
          <w:bCs/>
        </w:rPr>
      </w:pPr>
      <w:r w:rsidRPr="001E0B8E">
        <w:rPr>
          <w:rFonts w:ascii="Verdana" w:hAnsi="Verdana"/>
          <w:b/>
          <w:bCs/>
        </w:rPr>
        <w:t xml:space="preserve">Technology / Security </w:t>
      </w:r>
    </w:p>
    <w:tbl>
      <w:tblPr>
        <w:tblStyle w:val="TableGrid"/>
        <w:tblW w:w="0" w:type="auto"/>
        <w:tblLook w:val="04A0" w:firstRow="1" w:lastRow="0" w:firstColumn="1" w:lastColumn="0" w:noHBand="0" w:noVBand="1"/>
      </w:tblPr>
      <w:tblGrid>
        <w:gridCol w:w="985"/>
        <w:gridCol w:w="8365"/>
      </w:tblGrid>
      <w:tr w:rsidR="00286BD0" w:rsidRPr="00333249" w14:paraId="662FB39F" w14:textId="77777777" w:rsidTr="00985302">
        <w:tc>
          <w:tcPr>
            <w:tcW w:w="985" w:type="dxa"/>
            <w:shd w:val="clear" w:color="auto" w:fill="FFFF00"/>
          </w:tcPr>
          <w:p w14:paraId="7DE3EA60" w14:textId="77777777" w:rsidR="00286BD0" w:rsidRPr="00E847A5" w:rsidRDefault="00286BD0" w:rsidP="00985302">
            <w:pPr>
              <w:tabs>
                <w:tab w:val="left" w:pos="480"/>
              </w:tabs>
            </w:pPr>
          </w:p>
        </w:tc>
        <w:tc>
          <w:tcPr>
            <w:tcW w:w="8365" w:type="dxa"/>
          </w:tcPr>
          <w:p w14:paraId="2BA352CC" w14:textId="77777777" w:rsidR="00286BD0" w:rsidRDefault="00286BD0" w:rsidP="00985302">
            <w:pPr>
              <w:pStyle w:val="NormalWeb"/>
              <w:shd w:val="clear" w:color="auto" w:fill="FFFFFF"/>
              <w:rPr>
                <w:rFonts w:asciiTheme="minorHAnsi" w:hAnsiTheme="minorHAnsi" w:cstheme="minorHAnsi"/>
                <w:sz w:val="22"/>
                <w:szCs w:val="22"/>
              </w:rPr>
            </w:pPr>
            <w:r>
              <w:rPr>
                <w:rFonts w:asciiTheme="minorHAnsi" w:eastAsia="Calibri" w:hAnsiTheme="minorHAnsi" w:cstheme="minorHAnsi"/>
                <w:b/>
                <w:bCs/>
                <w:color w:val="000000"/>
                <w:sz w:val="22"/>
                <w:szCs w:val="22"/>
              </w:rPr>
              <w:t>FinCEN</w:t>
            </w:r>
            <w:r w:rsidRPr="00D61484">
              <w:rPr>
                <w:rFonts w:asciiTheme="minorHAnsi" w:eastAsia="Calibri" w:hAnsiTheme="minorHAnsi" w:cstheme="minorHAnsi"/>
                <w:color w:val="000000"/>
                <w:sz w:val="22"/>
                <w:szCs w:val="22"/>
              </w:rPr>
              <w:t xml:space="preserve"> </w:t>
            </w:r>
            <w:hyperlink r:id="rId36" w:history="1">
              <w:r w:rsidRPr="00A23288">
                <w:rPr>
                  <w:rStyle w:val="Hyperlink"/>
                  <w:rFonts w:asciiTheme="minorHAnsi" w:eastAsia="Calibri" w:hAnsiTheme="minorHAnsi" w:cstheme="minorHAnsi"/>
                  <w:sz w:val="22"/>
                  <w:szCs w:val="22"/>
                </w:rPr>
                <w:t>Issues Financial Trend Analysis on Ransomware</w:t>
              </w:r>
            </w:hyperlink>
            <w:r w:rsidRPr="00A23288">
              <w:rPr>
                <w:rFonts w:asciiTheme="minorHAnsi" w:eastAsia="Calibri" w:hAnsiTheme="minorHAnsi" w:cstheme="minorHAnsi"/>
                <w:color w:val="000000"/>
                <w:sz w:val="22"/>
                <w:szCs w:val="22"/>
              </w:rPr>
              <w:t xml:space="preserve"> </w:t>
            </w:r>
            <w:r w:rsidRPr="00D61484">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12</w:t>
            </w:r>
            <w:r w:rsidRPr="00D61484">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04</w:t>
            </w:r>
            <w:r w:rsidRPr="00D61484">
              <w:rPr>
                <w:rFonts w:asciiTheme="minorHAnsi" w:eastAsia="Calibri" w:hAnsiTheme="minorHAnsi" w:cstheme="minorHAnsi"/>
                <w:color w:val="000000"/>
                <w:sz w:val="22"/>
                <w:szCs w:val="22"/>
              </w:rPr>
              <w:t>/2025) –</w:t>
            </w:r>
            <w:r w:rsidRPr="00D61484">
              <w:rPr>
                <w:rFonts w:asciiTheme="minorHAnsi" w:hAnsiTheme="minorHAnsi" w:cstheme="minorHAnsi"/>
                <w:sz w:val="22"/>
                <w:szCs w:val="22"/>
              </w:rPr>
              <w:t xml:space="preserve"> </w:t>
            </w:r>
            <w:r w:rsidRPr="00A23288">
              <w:rPr>
                <w:rFonts w:asciiTheme="minorHAnsi" w:hAnsiTheme="minorHAnsi" w:cstheme="minorHAnsi"/>
                <w:sz w:val="22"/>
                <w:szCs w:val="22"/>
              </w:rPr>
              <w:t>The U.S. Department of the Treasury’s Financial Crimes Enforcement Network (FinCEN) is issuing a Financial Trend Analysis on ransomware incidents in Bank Secrecy Act data between 2022 and 2024, which totaled more than $2.1 billion in ransomware payments. Today’s report offers greater visibility into the activities conducted by ransomware actors. Ransomware is a complex cybersecurity problem requiring a variety of preventive, protective, and preparatory best practices.  </w:t>
            </w:r>
          </w:p>
          <w:p w14:paraId="33AC2192" w14:textId="77777777" w:rsidR="00286BD0" w:rsidRPr="00A23288" w:rsidRDefault="00286BD0" w:rsidP="00985302">
            <w:pPr>
              <w:pStyle w:val="NormalWeb"/>
              <w:shd w:val="clear" w:color="auto" w:fill="FFFFFF"/>
              <w:rPr>
                <w:rFonts w:asciiTheme="minorHAnsi" w:hAnsiTheme="minorHAnsi" w:cstheme="minorHAnsi"/>
                <w:sz w:val="22"/>
                <w:szCs w:val="22"/>
              </w:rPr>
            </w:pPr>
          </w:p>
          <w:p w14:paraId="6D90A020" w14:textId="77777777" w:rsidR="00286BD0" w:rsidRDefault="00286BD0" w:rsidP="00985302">
            <w:pPr>
              <w:pStyle w:val="NormalWeb"/>
              <w:shd w:val="clear" w:color="auto" w:fill="FFFFFF"/>
              <w:rPr>
                <w:rFonts w:asciiTheme="minorHAnsi" w:hAnsiTheme="minorHAnsi" w:cstheme="minorHAnsi"/>
                <w:sz w:val="22"/>
                <w:szCs w:val="22"/>
              </w:rPr>
            </w:pPr>
            <w:r w:rsidRPr="00A23288">
              <w:rPr>
                <w:rFonts w:asciiTheme="minorHAnsi" w:hAnsiTheme="minorHAnsi" w:cstheme="minorHAnsi"/>
                <w:sz w:val="22"/>
                <w:szCs w:val="22"/>
              </w:rPr>
              <w:t xml:space="preserve">News Release: </w:t>
            </w:r>
            <w:hyperlink r:id="rId37" w:history="1">
              <w:r w:rsidRPr="009D49AD">
                <w:rPr>
                  <w:rStyle w:val="Hyperlink"/>
                  <w:rFonts w:asciiTheme="minorHAnsi" w:hAnsiTheme="minorHAnsi" w:cstheme="minorHAnsi"/>
                  <w:sz w:val="22"/>
                  <w:szCs w:val="22"/>
                </w:rPr>
                <w:t>https://www.fincen.gov/news/news-releases/fincen-issues-financial-trend-analysis-ransomware</w:t>
              </w:r>
            </w:hyperlink>
            <w:r>
              <w:rPr>
                <w:rFonts w:asciiTheme="minorHAnsi" w:hAnsiTheme="minorHAnsi" w:cstheme="minorHAnsi"/>
                <w:sz w:val="22"/>
                <w:szCs w:val="22"/>
              </w:rPr>
              <w:t xml:space="preserve"> </w:t>
            </w:r>
          </w:p>
          <w:p w14:paraId="605BCD68" w14:textId="77777777" w:rsidR="00286BD0" w:rsidRPr="00A23288" w:rsidRDefault="00286BD0" w:rsidP="00985302">
            <w:pPr>
              <w:pStyle w:val="NormalWeb"/>
              <w:shd w:val="clear" w:color="auto" w:fill="FFFFFF"/>
              <w:rPr>
                <w:rFonts w:asciiTheme="minorHAnsi" w:hAnsiTheme="minorHAnsi" w:cstheme="minorHAnsi"/>
                <w:sz w:val="22"/>
                <w:szCs w:val="22"/>
              </w:rPr>
            </w:pPr>
          </w:p>
          <w:p w14:paraId="3CE3EA45" w14:textId="77777777" w:rsidR="00286BD0" w:rsidRPr="00D61484" w:rsidRDefault="00286BD0" w:rsidP="00985302">
            <w:pPr>
              <w:pStyle w:val="NormalWeb"/>
              <w:shd w:val="clear" w:color="auto" w:fill="FFFFFF"/>
              <w:rPr>
                <w:rFonts w:asciiTheme="minorHAnsi" w:eastAsia="Calibri" w:hAnsiTheme="minorHAnsi" w:cstheme="minorHAnsi"/>
                <w:color w:val="000000"/>
                <w:sz w:val="22"/>
                <w:szCs w:val="22"/>
              </w:rPr>
            </w:pPr>
            <w:r w:rsidRPr="00A23288">
              <w:rPr>
                <w:rFonts w:asciiTheme="minorHAnsi" w:hAnsiTheme="minorHAnsi" w:cstheme="minorHAnsi"/>
                <w:sz w:val="22"/>
                <w:szCs w:val="22"/>
              </w:rPr>
              <w:t xml:space="preserve">Financial Trend Analysis: </w:t>
            </w:r>
            <w:hyperlink r:id="rId38" w:history="1">
              <w:r w:rsidRPr="009D49AD">
                <w:rPr>
                  <w:rStyle w:val="Hyperlink"/>
                  <w:rFonts w:asciiTheme="minorHAnsi" w:hAnsiTheme="minorHAnsi" w:cstheme="minorHAnsi"/>
                  <w:sz w:val="22"/>
                  <w:szCs w:val="22"/>
                </w:rPr>
                <w:t>https://www.fincen.gov/system/files/2025-12/FTA-Ransomware.pdf</w:t>
              </w:r>
            </w:hyperlink>
            <w:r>
              <w:rPr>
                <w:rFonts w:asciiTheme="minorHAnsi" w:hAnsiTheme="minorHAnsi" w:cstheme="minorHAnsi"/>
                <w:sz w:val="22"/>
                <w:szCs w:val="22"/>
              </w:rPr>
              <w:t xml:space="preserve"> </w:t>
            </w:r>
          </w:p>
          <w:p w14:paraId="0E9F2A97" w14:textId="77777777" w:rsidR="00286BD0" w:rsidRPr="00D61484" w:rsidRDefault="00286BD0" w:rsidP="00985302">
            <w:pPr>
              <w:pStyle w:val="NormalWeb"/>
              <w:shd w:val="clear" w:color="auto" w:fill="FFFFFF"/>
              <w:rPr>
                <w:rFonts w:asciiTheme="minorHAnsi" w:eastAsia="Calibri" w:hAnsiTheme="minorHAnsi" w:cstheme="minorHAnsi"/>
                <w:color w:val="000000"/>
                <w:sz w:val="22"/>
                <w:szCs w:val="22"/>
              </w:rPr>
            </w:pPr>
          </w:p>
          <w:p w14:paraId="0BF8E32C" w14:textId="3B3790EA" w:rsidR="00286BD0" w:rsidRPr="006B7F9C" w:rsidRDefault="00286BD0" w:rsidP="00985302">
            <w:pPr>
              <w:rPr>
                <w:rFonts w:eastAsia="Aptos" w:cstheme="minorHAnsi"/>
                <w:b/>
                <w:bCs/>
                <w:i/>
                <w:iCs/>
                <w:color w:val="002060"/>
              </w:rPr>
            </w:pPr>
            <w:r w:rsidRPr="00D61484">
              <w:rPr>
                <w:rFonts w:eastAsia="Aptos" w:cstheme="minorHAnsi"/>
                <w:b/>
                <w:bCs/>
                <w:i/>
                <w:iCs/>
                <w:color w:val="002060"/>
              </w:rPr>
              <w:t xml:space="preserve">Comment: </w:t>
            </w:r>
            <w:r>
              <w:rPr>
                <w:rFonts w:eastAsia="Aptos" w:cstheme="minorHAnsi"/>
                <w:b/>
                <w:bCs/>
                <w:i/>
                <w:iCs/>
                <w:color w:val="002060"/>
              </w:rPr>
              <w:t xml:space="preserve">The </w:t>
            </w:r>
            <w:r w:rsidRPr="002474B1">
              <w:rPr>
                <w:rFonts w:eastAsia="Aptos" w:cstheme="minorHAnsi"/>
                <w:b/>
                <w:bCs/>
                <w:i/>
                <w:iCs/>
                <w:color w:val="002060"/>
              </w:rPr>
              <w:t>report shows that more than $2.1 billion was paid to ransomware groups between 2022 and 2024, with $1.1 billion paid in 2023 alone.</w:t>
            </w:r>
            <w:r>
              <w:rPr>
                <w:rFonts w:eastAsia="Aptos" w:cstheme="minorHAnsi"/>
                <w:b/>
                <w:bCs/>
                <w:i/>
                <w:iCs/>
                <w:color w:val="002060"/>
              </w:rPr>
              <w:t xml:space="preserve"> </w:t>
            </w:r>
            <w:r w:rsidRPr="002474B1">
              <w:rPr>
                <w:rFonts w:eastAsia="Aptos" w:cstheme="minorHAnsi"/>
                <w:b/>
                <w:bCs/>
                <w:i/>
                <w:iCs/>
                <w:color w:val="002060"/>
              </w:rPr>
              <w:t xml:space="preserve">Between 2013 and 2024, </w:t>
            </w:r>
            <w:r w:rsidRPr="002474B1">
              <w:rPr>
                <w:rFonts w:eastAsia="Aptos" w:cstheme="minorHAnsi"/>
                <w:b/>
                <w:bCs/>
                <w:i/>
                <w:iCs/>
                <w:color w:val="002060"/>
              </w:rPr>
              <w:lastRenderedPageBreak/>
              <w:t xml:space="preserve">FinCEN received 10,470 Bank Secrecy Act (BSA) reports related to ransomware incidents. </w:t>
            </w:r>
            <w:proofErr w:type="gramStart"/>
            <w:r w:rsidRPr="002474B1">
              <w:rPr>
                <w:rFonts w:eastAsia="Aptos" w:cstheme="minorHAnsi"/>
                <w:b/>
                <w:bCs/>
                <w:i/>
                <w:iCs/>
                <w:color w:val="002060"/>
              </w:rPr>
              <w:t>The majority of</w:t>
            </w:r>
            <w:proofErr w:type="gramEnd"/>
            <w:r w:rsidRPr="002474B1">
              <w:rPr>
                <w:rFonts w:eastAsia="Aptos" w:cstheme="minorHAnsi"/>
                <w:b/>
                <w:bCs/>
                <w:i/>
                <w:iCs/>
                <w:color w:val="002060"/>
              </w:rPr>
              <w:t xml:space="preserve"> the reports, namely 7,395, came in between 2022 and 2023.</w:t>
            </w:r>
            <w:r>
              <w:rPr>
                <w:rFonts w:eastAsia="Aptos" w:cstheme="minorHAnsi"/>
                <w:b/>
                <w:bCs/>
                <w:i/>
                <w:iCs/>
                <w:color w:val="002060"/>
              </w:rPr>
              <w:t xml:space="preserve"> </w:t>
            </w:r>
            <w:r w:rsidRPr="002474B1">
              <w:rPr>
                <w:rFonts w:eastAsia="Aptos" w:cstheme="minorHAnsi"/>
                <w:b/>
                <w:bCs/>
                <w:i/>
                <w:iCs/>
                <w:color w:val="002060"/>
              </w:rPr>
              <w:t>Between January 2022 and December 2024, 4,194 ransomware incidents were reported to FinCEN, with the highest number of attacks reported in 2023, at 1,512.</w:t>
            </w:r>
          </w:p>
        </w:tc>
      </w:tr>
    </w:tbl>
    <w:p w14:paraId="4F0AD425" w14:textId="77777777" w:rsidR="00286BD0" w:rsidRPr="006B7F9C" w:rsidRDefault="00286BD0" w:rsidP="00286BD0">
      <w:pPr>
        <w:spacing w:after="0" w:line="240" w:lineRule="auto"/>
        <w:rPr>
          <w:rFonts w:ascii="Verdana" w:hAnsi="Verdana"/>
          <w:b/>
          <w:bCs/>
        </w:rPr>
      </w:pPr>
    </w:p>
    <w:p w14:paraId="6D79732B" w14:textId="77777777" w:rsidR="00286BD0" w:rsidRPr="001E0B8E" w:rsidRDefault="00286BD0" w:rsidP="00286BD0">
      <w:pPr>
        <w:rPr>
          <w:rFonts w:ascii="Verdana" w:hAnsi="Verdana"/>
          <w:b/>
          <w:bCs/>
          <w:color w:val="4472C4" w:themeColor="accent1"/>
          <w:sz w:val="28"/>
          <w:szCs w:val="28"/>
        </w:rPr>
      </w:pPr>
      <w:r>
        <w:rPr>
          <w:rFonts w:ascii="Verdana" w:hAnsi="Verdana"/>
          <w:b/>
          <w:bCs/>
          <w:color w:val="4472C4" w:themeColor="accent1"/>
          <w:sz w:val="28"/>
          <w:szCs w:val="28"/>
        </w:rPr>
        <w:t>Open for Comment</w:t>
      </w:r>
    </w:p>
    <w:p w14:paraId="67442FC1" w14:textId="77777777" w:rsidR="00286BD0" w:rsidRDefault="00286BD0" w:rsidP="00286BD0">
      <w:r>
        <w:t>I</w:t>
      </w:r>
      <w:r w:rsidRPr="001E0B8E">
        <w:t xml:space="preserve">ncluded only when </w:t>
      </w:r>
      <w:r>
        <w:t xml:space="preserve">specific to or relevant for </w:t>
      </w:r>
      <w:r w:rsidRPr="001E0B8E">
        <w:t>community banks to comment</w:t>
      </w:r>
      <w:r>
        <w:t xml:space="preserve"> on</w:t>
      </w:r>
      <w:r w:rsidRPr="001E0B8E">
        <w:t xml:space="preserve">. Date posted may not be the same as the Federal Register Date. </w:t>
      </w:r>
      <w:bookmarkStart w:id="21" w:name="_Hlk215420177"/>
    </w:p>
    <w:p w14:paraId="3DE8F81F" w14:textId="6D2FBB4F" w:rsidR="00286BD0" w:rsidRDefault="00286BD0" w:rsidP="00286BD0">
      <w:pPr>
        <w:spacing w:after="0" w:line="240" w:lineRule="auto"/>
        <w:ind w:left="1440" w:hanging="1440"/>
      </w:pPr>
      <w:r>
        <w:t>12.04.2025</w:t>
      </w:r>
      <w:r>
        <w:tab/>
      </w:r>
      <w:r w:rsidRPr="00D02C3A">
        <w:rPr>
          <w:b/>
          <w:bCs/>
        </w:rPr>
        <w:t>FRB</w:t>
      </w:r>
      <w:r>
        <w:t xml:space="preserve"> </w:t>
      </w:r>
      <w:hyperlink r:id="rId39" w:history="1">
        <w:r w:rsidRPr="00D02C3A">
          <w:rPr>
            <w:rStyle w:val="Hyperlink"/>
          </w:rPr>
          <w:t>Requests Public Input on the Impact of Potential Strategic Changes to Check Services Provided by the Fed, as Well as Check Usage and Preferences</w:t>
        </w:r>
      </w:hyperlink>
      <w:r>
        <w:t xml:space="preserve"> SUMMARY: The Board of Governors of the Federal Reserve System (Board) seeks public input on questions related to the future of the Federal Reserve Banks’ (Reserve Banks’) check services. The Board will use responses to this request for information (RFI) to assess possible strategies for the future of the Reserve Banks’ check services, including potentially substantial changes that may have longer run effects on the payments system. In addition, the Board will use responses to this RFI to analyze other actions that the Federal Reserve System could consider with respect to checks, in partnership with the industry, to support the overall safety and efficiency of the payments system. </w:t>
      </w:r>
    </w:p>
    <w:p w14:paraId="2D83A484" w14:textId="77777777" w:rsidR="00286BD0" w:rsidRDefault="00286BD0" w:rsidP="00286BD0">
      <w:pPr>
        <w:spacing w:after="0" w:line="240" w:lineRule="auto"/>
        <w:ind w:left="1440" w:hanging="1440"/>
      </w:pPr>
    </w:p>
    <w:p w14:paraId="2E4B1AF8" w14:textId="77777777" w:rsidR="00286BD0" w:rsidRDefault="00286BD0" w:rsidP="00286BD0">
      <w:pPr>
        <w:spacing w:after="0" w:line="240" w:lineRule="auto"/>
        <w:ind w:left="1440" w:hanging="1440"/>
        <w:rPr>
          <w:b/>
          <w:bCs/>
        </w:rPr>
      </w:pPr>
      <w:r>
        <w:t>11.30.2025</w:t>
      </w:r>
      <w:r>
        <w:tab/>
      </w:r>
      <w:hyperlink r:id="rId40" w:history="1">
        <w:r w:rsidRPr="00D80293">
          <w:rPr>
            <w:rStyle w:val="Hyperlink"/>
          </w:rPr>
          <w:t>Joint Regulatory Capital Rule: Revisions to the Community Bank Leverage Ratio Framework</w:t>
        </w:r>
      </w:hyperlink>
      <w:r w:rsidRPr="00D80293">
        <w:t xml:space="preserve"> </w:t>
      </w:r>
      <w:r>
        <w:t xml:space="preserve">SUMMARY: The Office of the Comptroller of the Currency, the Board of Governors of the Federal Reserve System, and the Federal Deposit Insurance Corporation are inviting public comment on a notice of proposed rulemaking (proposal) that would lower the community bank leverage ratio (CBLR) requirement for certain depository institutions and depository institution holding companies from 9 percent to 8 percent, consistent with the lower bound provided in section 201 of the Economic Growth, Regulatory Relief, and Consumer Protection Act. The proposal would also extend the length of time that certain depository institutions or depository 2 of 58 institution holding companies can remain in the CBLR framework while not meeting </w:t>
      </w:r>
      <w:proofErr w:type="gramStart"/>
      <w:r>
        <w:t>all of</w:t>
      </w:r>
      <w:proofErr w:type="gramEnd"/>
      <w:r>
        <w:t xml:space="preserve"> the qualifying criteria for the CBLR framework from two quarters to four quarters, subject to a limit of eight quarters in any five-year period. </w:t>
      </w:r>
      <w:r w:rsidRPr="00D80293">
        <w:rPr>
          <w:b/>
          <w:bCs/>
        </w:rPr>
        <w:t>DATES: Comments must be received by January 30, 2026.</w:t>
      </w:r>
    </w:p>
    <w:p w14:paraId="12566CB8" w14:textId="77777777" w:rsidR="00286BD0" w:rsidRDefault="00286BD0" w:rsidP="00286BD0">
      <w:pPr>
        <w:spacing w:after="0" w:line="240" w:lineRule="auto"/>
        <w:ind w:left="1440" w:hanging="1440"/>
        <w:rPr>
          <w:b/>
          <w:bCs/>
        </w:rPr>
      </w:pPr>
    </w:p>
    <w:p w14:paraId="18959368" w14:textId="77777777" w:rsidR="00286BD0" w:rsidRPr="00721B68" w:rsidRDefault="00286BD0" w:rsidP="00286BD0">
      <w:pPr>
        <w:spacing w:after="0" w:line="240" w:lineRule="auto"/>
        <w:ind w:left="1440" w:hanging="1440"/>
        <w:rPr>
          <w:rStyle w:val="Hyperlink"/>
        </w:rPr>
      </w:pPr>
      <w:r>
        <w:t>11.28.2025</w:t>
      </w:r>
      <w:r>
        <w:tab/>
      </w:r>
      <w:r w:rsidRPr="00721B68">
        <w:rPr>
          <w:b/>
          <w:bCs/>
        </w:rPr>
        <w:t>OCC</w:t>
      </w:r>
      <w:r>
        <w:t xml:space="preserve"> </w:t>
      </w:r>
      <w:r>
        <w:fldChar w:fldCharType="begin"/>
      </w:r>
      <w:r>
        <w:instrText>HYPERLINK "https://occ.gov/news-issuances/news-releases/2025/nr-occ-2025-110a.pdf"</w:instrText>
      </w:r>
      <w:r>
        <w:fldChar w:fldCharType="separate"/>
      </w:r>
      <w:r w:rsidRPr="00721B68">
        <w:rPr>
          <w:rStyle w:val="Hyperlink"/>
        </w:rPr>
        <w:t xml:space="preserve">Request for Information Regarding Community Banks’ Engagement with Core </w:t>
      </w:r>
    </w:p>
    <w:p w14:paraId="3D44B7FA" w14:textId="77777777" w:rsidR="00286BD0" w:rsidRDefault="00286BD0" w:rsidP="00286BD0">
      <w:pPr>
        <w:spacing w:after="0" w:line="240" w:lineRule="auto"/>
        <w:ind w:left="1440"/>
      </w:pPr>
      <w:r w:rsidRPr="00721B68">
        <w:rPr>
          <w:rStyle w:val="Hyperlink"/>
        </w:rPr>
        <w:t>Service Providers and Other Essential Third-Party Service Providers</w:t>
      </w:r>
      <w:r>
        <w:fldChar w:fldCharType="end"/>
      </w:r>
      <w:r>
        <w:t xml:space="preserve"> SUMMARY: The OCC is issuing a request for information (RFI) on community bank engagement with their core service providers and other essential third-party service providers. The RFI seeks to better understand how challenges community banks face with such service providers </w:t>
      </w:r>
      <w:proofErr w:type="gramStart"/>
      <w:r>
        <w:t>affect</w:t>
      </w:r>
      <w:proofErr w:type="gramEnd"/>
      <w:r>
        <w:t xml:space="preserve"> these banks’ abilities to remain competitive in a rapidly evolving marketplace, as well as what actions the OCC can take to address any of these challenges. </w:t>
      </w:r>
      <w:r w:rsidRPr="00DD79CC">
        <w:rPr>
          <w:b/>
          <w:bCs/>
        </w:rPr>
        <w:t>DATES: Comments must be received by January 27, 2026.</w:t>
      </w:r>
    </w:p>
    <w:p w14:paraId="1052B855" w14:textId="77777777" w:rsidR="00286BD0" w:rsidRDefault="00286BD0" w:rsidP="00286BD0">
      <w:pPr>
        <w:spacing w:after="0" w:line="240" w:lineRule="auto"/>
        <w:ind w:left="1440" w:hanging="1440"/>
      </w:pPr>
    </w:p>
    <w:p w14:paraId="4514DA05" w14:textId="658B5F6C" w:rsidR="00286BD0" w:rsidRDefault="00286BD0" w:rsidP="00314343">
      <w:pPr>
        <w:spacing w:after="0" w:line="240" w:lineRule="auto"/>
        <w:ind w:left="1440" w:hanging="1440"/>
        <w:rPr>
          <w:b/>
          <w:bCs/>
        </w:rPr>
      </w:pPr>
      <w:r>
        <w:t>11.13.2025</w:t>
      </w:r>
      <w:r>
        <w:tab/>
      </w:r>
      <w:r w:rsidRPr="00CE426D">
        <w:rPr>
          <w:b/>
          <w:bCs/>
        </w:rPr>
        <w:t>CFPB</w:t>
      </w:r>
      <w:r w:rsidRPr="00CE426D">
        <w:t xml:space="preserve"> </w:t>
      </w:r>
      <w:hyperlink r:id="rId41" w:history="1">
        <w:r w:rsidRPr="00CE426D">
          <w:rPr>
            <w:rStyle w:val="Hyperlink"/>
          </w:rPr>
          <w:t>Small Business Lending Under the Equal Credit Opportunity Act (Regulation B)</w:t>
        </w:r>
      </w:hyperlink>
      <w:r>
        <w:t xml:space="preserve"> </w:t>
      </w:r>
      <w:r w:rsidRPr="00CE426D">
        <w:t>SUMMARY: The Consumer Financial Protection Bureau (CFPB or Bureau) proposes revisions to certain provisions of Regulation B, subpart B, implementing changes to the Equal Credit Opportunity Act made by section 1071 of the Dodd-Frank Wall Street Reform and Consumer Protection Act. The Bureau is reconsidering coverage of certain credit transactions and financial institutions; the small business definition; inclusion of certain data points and how others are collected; and the compliance date. The CFPB believes these proposed changes would streamline the rule, reduce complexity for lenders, and improve data quality, advancing the purposes of section 1071 and complying with recent executive directives.</w:t>
      </w:r>
      <w:r>
        <w:t xml:space="preserve"> </w:t>
      </w:r>
      <w:r w:rsidRPr="00CE426D">
        <w:rPr>
          <w:b/>
          <w:bCs/>
        </w:rPr>
        <w:t>DATES: Comments must be received on or before December 15, 2025.</w:t>
      </w:r>
      <w:bookmarkEnd w:id="21"/>
    </w:p>
    <w:p w14:paraId="30CDF139" w14:textId="77777777" w:rsidR="00286BD0" w:rsidRDefault="00286BD0" w:rsidP="00F57E2C">
      <w:pPr>
        <w:spacing w:line="360" w:lineRule="auto"/>
        <w:rPr>
          <w:b/>
          <w:bCs/>
          <w:color w:val="29588C"/>
          <w:sz w:val="28"/>
          <w:szCs w:val="28"/>
        </w:rPr>
      </w:pPr>
    </w:p>
    <w:sectPr w:rsidR="00286BD0" w:rsidSect="00386A3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8D7B" w14:textId="77777777" w:rsidR="0065081E" w:rsidRDefault="0065081E" w:rsidP="00AB76E8">
      <w:pPr>
        <w:spacing w:after="0" w:line="240" w:lineRule="auto"/>
      </w:pPr>
      <w:r>
        <w:separator/>
      </w:r>
    </w:p>
  </w:endnote>
  <w:endnote w:type="continuationSeparator" w:id="0">
    <w:p w14:paraId="3C0FBA3F" w14:textId="77777777" w:rsidR="0065081E" w:rsidRDefault="0065081E" w:rsidP="00AB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9035" w14:textId="77777777" w:rsidR="0065081E" w:rsidRDefault="0065081E" w:rsidP="00AB76E8">
      <w:pPr>
        <w:spacing w:after="0" w:line="240" w:lineRule="auto"/>
      </w:pPr>
      <w:r>
        <w:separator/>
      </w:r>
    </w:p>
  </w:footnote>
  <w:footnote w:type="continuationSeparator" w:id="0">
    <w:p w14:paraId="11221A30" w14:textId="77777777" w:rsidR="0065081E" w:rsidRDefault="0065081E" w:rsidP="00AB7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C79"/>
    <w:multiLevelType w:val="multilevel"/>
    <w:tmpl w:val="9D7C4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55C5C"/>
    <w:multiLevelType w:val="multilevel"/>
    <w:tmpl w:val="03402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808C1"/>
    <w:multiLevelType w:val="multilevel"/>
    <w:tmpl w:val="1B04D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47614"/>
    <w:multiLevelType w:val="multilevel"/>
    <w:tmpl w:val="5F42C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B2B6D"/>
    <w:multiLevelType w:val="hybridMultilevel"/>
    <w:tmpl w:val="7FAA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66FC5"/>
    <w:multiLevelType w:val="multilevel"/>
    <w:tmpl w:val="63AE8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05225"/>
    <w:multiLevelType w:val="multilevel"/>
    <w:tmpl w:val="2CB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8262B"/>
    <w:multiLevelType w:val="multilevel"/>
    <w:tmpl w:val="FB6C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0083A"/>
    <w:multiLevelType w:val="multilevel"/>
    <w:tmpl w:val="ABF6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31DE2"/>
    <w:multiLevelType w:val="multilevel"/>
    <w:tmpl w:val="4BE04C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148DE"/>
    <w:multiLevelType w:val="hybridMultilevel"/>
    <w:tmpl w:val="617C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D43C5"/>
    <w:multiLevelType w:val="hybridMultilevel"/>
    <w:tmpl w:val="34FC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5629F"/>
    <w:multiLevelType w:val="hybridMultilevel"/>
    <w:tmpl w:val="701E988A"/>
    <w:lvl w:ilvl="0" w:tplc="8190FF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21E81"/>
    <w:multiLevelType w:val="hybridMultilevel"/>
    <w:tmpl w:val="D11E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B7E81"/>
    <w:multiLevelType w:val="multilevel"/>
    <w:tmpl w:val="BACA7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90A02"/>
    <w:multiLevelType w:val="multilevel"/>
    <w:tmpl w:val="5A7CA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AD46C5E"/>
    <w:multiLevelType w:val="hybridMultilevel"/>
    <w:tmpl w:val="3AC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A1287"/>
    <w:multiLevelType w:val="hybridMultilevel"/>
    <w:tmpl w:val="D0BEC544"/>
    <w:lvl w:ilvl="0" w:tplc="2A406016">
      <w:numFmt w:val="bullet"/>
      <w:lvlText w:val="•"/>
      <w:lvlJc w:val="left"/>
      <w:pPr>
        <w:ind w:left="1440" w:hanging="720"/>
      </w:pPr>
      <w:rPr>
        <w:rFonts w:ascii="Calibri" w:eastAsia="Apto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2A6D40"/>
    <w:multiLevelType w:val="multilevel"/>
    <w:tmpl w:val="03FA0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3533F"/>
    <w:multiLevelType w:val="hybridMultilevel"/>
    <w:tmpl w:val="DBD6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8581A"/>
    <w:multiLevelType w:val="multilevel"/>
    <w:tmpl w:val="620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00A1D"/>
    <w:multiLevelType w:val="hybridMultilevel"/>
    <w:tmpl w:val="3F8C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F58AC"/>
    <w:multiLevelType w:val="hybridMultilevel"/>
    <w:tmpl w:val="3302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F4400"/>
    <w:multiLevelType w:val="multilevel"/>
    <w:tmpl w:val="12B89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669B9"/>
    <w:multiLevelType w:val="multilevel"/>
    <w:tmpl w:val="5E045B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22EAB"/>
    <w:multiLevelType w:val="multilevel"/>
    <w:tmpl w:val="477EF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450CF"/>
    <w:multiLevelType w:val="hybridMultilevel"/>
    <w:tmpl w:val="C308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D2716"/>
    <w:multiLevelType w:val="multilevel"/>
    <w:tmpl w:val="4D042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91DC7"/>
    <w:multiLevelType w:val="multilevel"/>
    <w:tmpl w:val="4894C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162CB"/>
    <w:multiLevelType w:val="hybridMultilevel"/>
    <w:tmpl w:val="83B8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17411"/>
    <w:multiLevelType w:val="multilevel"/>
    <w:tmpl w:val="1472C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B2129C"/>
    <w:multiLevelType w:val="hybridMultilevel"/>
    <w:tmpl w:val="5610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46CE3"/>
    <w:multiLevelType w:val="multilevel"/>
    <w:tmpl w:val="029C9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826543">
    <w:abstractNumId w:val="9"/>
  </w:num>
  <w:num w:numId="2" w16cid:durableId="438304821">
    <w:abstractNumId w:val="12"/>
  </w:num>
  <w:num w:numId="3" w16cid:durableId="513498022">
    <w:abstractNumId w:val="8"/>
  </w:num>
  <w:num w:numId="4" w16cid:durableId="803741922">
    <w:abstractNumId w:val="29"/>
  </w:num>
  <w:num w:numId="5" w16cid:durableId="812908671">
    <w:abstractNumId w:val="19"/>
  </w:num>
  <w:num w:numId="6" w16cid:durableId="1190224008">
    <w:abstractNumId w:val="4"/>
  </w:num>
  <w:num w:numId="7" w16cid:durableId="350571610">
    <w:abstractNumId w:val="22"/>
  </w:num>
  <w:num w:numId="8" w16cid:durableId="9431969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680934">
    <w:abstractNumId w:val="28"/>
  </w:num>
  <w:num w:numId="10" w16cid:durableId="343436214">
    <w:abstractNumId w:val="14"/>
  </w:num>
  <w:num w:numId="11" w16cid:durableId="1473281856">
    <w:abstractNumId w:val="1"/>
  </w:num>
  <w:num w:numId="12" w16cid:durableId="778178205">
    <w:abstractNumId w:val="13"/>
  </w:num>
  <w:num w:numId="13" w16cid:durableId="1227882704">
    <w:abstractNumId w:val="30"/>
  </w:num>
  <w:num w:numId="14" w16cid:durableId="1263029375">
    <w:abstractNumId w:val="21"/>
  </w:num>
  <w:num w:numId="15" w16cid:durableId="523052582">
    <w:abstractNumId w:val="11"/>
  </w:num>
  <w:num w:numId="16" w16cid:durableId="238297768">
    <w:abstractNumId w:val="20"/>
  </w:num>
  <w:num w:numId="17" w16cid:durableId="1959530486">
    <w:abstractNumId w:val="0"/>
  </w:num>
  <w:num w:numId="18" w16cid:durableId="349331229">
    <w:abstractNumId w:val="18"/>
  </w:num>
  <w:num w:numId="19" w16cid:durableId="393745648">
    <w:abstractNumId w:val="7"/>
  </w:num>
  <w:num w:numId="20" w16cid:durableId="275991387">
    <w:abstractNumId w:val="10"/>
  </w:num>
  <w:num w:numId="21" w16cid:durableId="1994523175">
    <w:abstractNumId w:val="17"/>
  </w:num>
  <w:num w:numId="22" w16cid:durableId="1564099114">
    <w:abstractNumId w:val="25"/>
  </w:num>
  <w:num w:numId="23" w16cid:durableId="1138381801">
    <w:abstractNumId w:val="26"/>
  </w:num>
  <w:num w:numId="24" w16cid:durableId="2040623014">
    <w:abstractNumId w:val="27"/>
  </w:num>
  <w:num w:numId="25" w16cid:durableId="1391346027">
    <w:abstractNumId w:val="3"/>
  </w:num>
  <w:num w:numId="26" w16cid:durableId="724566644">
    <w:abstractNumId w:val="16"/>
  </w:num>
  <w:num w:numId="27" w16cid:durableId="1234775911">
    <w:abstractNumId w:val="24"/>
  </w:num>
  <w:num w:numId="28" w16cid:durableId="1832059907">
    <w:abstractNumId w:val="5"/>
  </w:num>
  <w:num w:numId="29" w16cid:durableId="530151226">
    <w:abstractNumId w:val="32"/>
  </w:num>
  <w:num w:numId="30" w16cid:durableId="570239965">
    <w:abstractNumId w:val="23"/>
  </w:num>
  <w:num w:numId="31" w16cid:durableId="337772890">
    <w:abstractNumId w:val="2"/>
  </w:num>
  <w:num w:numId="32" w16cid:durableId="401291463">
    <w:abstractNumId w:val="31"/>
  </w:num>
  <w:num w:numId="33" w16cid:durableId="51087787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8F"/>
    <w:rsid w:val="000015D0"/>
    <w:rsid w:val="000016A6"/>
    <w:rsid w:val="0000246C"/>
    <w:rsid w:val="00003468"/>
    <w:rsid w:val="000056DE"/>
    <w:rsid w:val="000066DE"/>
    <w:rsid w:val="00006F06"/>
    <w:rsid w:val="00007200"/>
    <w:rsid w:val="00007859"/>
    <w:rsid w:val="00011E1B"/>
    <w:rsid w:val="00012313"/>
    <w:rsid w:val="00017DF1"/>
    <w:rsid w:val="000238A1"/>
    <w:rsid w:val="000241AE"/>
    <w:rsid w:val="00027E93"/>
    <w:rsid w:val="00030336"/>
    <w:rsid w:val="00031449"/>
    <w:rsid w:val="00033BF2"/>
    <w:rsid w:val="0003519C"/>
    <w:rsid w:val="00037F6E"/>
    <w:rsid w:val="0004072D"/>
    <w:rsid w:val="00040E46"/>
    <w:rsid w:val="00042946"/>
    <w:rsid w:val="00042948"/>
    <w:rsid w:val="000459BB"/>
    <w:rsid w:val="000506E4"/>
    <w:rsid w:val="00053F03"/>
    <w:rsid w:val="00055210"/>
    <w:rsid w:val="00055D07"/>
    <w:rsid w:val="0005633C"/>
    <w:rsid w:val="00060C72"/>
    <w:rsid w:val="0006527D"/>
    <w:rsid w:val="000657AF"/>
    <w:rsid w:val="00071639"/>
    <w:rsid w:val="0007261C"/>
    <w:rsid w:val="000729B4"/>
    <w:rsid w:val="00074091"/>
    <w:rsid w:val="0007540E"/>
    <w:rsid w:val="00077EA8"/>
    <w:rsid w:val="0008372F"/>
    <w:rsid w:val="0008377A"/>
    <w:rsid w:val="00084AB0"/>
    <w:rsid w:val="00084E78"/>
    <w:rsid w:val="00087B7E"/>
    <w:rsid w:val="00090AE1"/>
    <w:rsid w:val="00091EE7"/>
    <w:rsid w:val="000927FD"/>
    <w:rsid w:val="00092837"/>
    <w:rsid w:val="00093D86"/>
    <w:rsid w:val="00094EE1"/>
    <w:rsid w:val="00095BCE"/>
    <w:rsid w:val="00097CBC"/>
    <w:rsid w:val="000A0F22"/>
    <w:rsid w:val="000A149C"/>
    <w:rsid w:val="000A2219"/>
    <w:rsid w:val="000A43C2"/>
    <w:rsid w:val="000A64FC"/>
    <w:rsid w:val="000A6EB7"/>
    <w:rsid w:val="000A7708"/>
    <w:rsid w:val="000B1F54"/>
    <w:rsid w:val="000B1F6F"/>
    <w:rsid w:val="000B25B6"/>
    <w:rsid w:val="000B37AA"/>
    <w:rsid w:val="000B3DA3"/>
    <w:rsid w:val="000B72EF"/>
    <w:rsid w:val="000B7D60"/>
    <w:rsid w:val="000C0084"/>
    <w:rsid w:val="000C101D"/>
    <w:rsid w:val="000C2AF2"/>
    <w:rsid w:val="000C565B"/>
    <w:rsid w:val="000C5CD9"/>
    <w:rsid w:val="000C5D22"/>
    <w:rsid w:val="000D0795"/>
    <w:rsid w:val="000D1FC3"/>
    <w:rsid w:val="000D2BF4"/>
    <w:rsid w:val="000D2C44"/>
    <w:rsid w:val="000D38C5"/>
    <w:rsid w:val="000D3AF3"/>
    <w:rsid w:val="000D7338"/>
    <w:rsid w:val="000D7D18"/>
    <w:rsid w:val="000E06EE"/>
    <w:rsid w:val="000E08F1"/>
    <w:rsid w:val="000E1417"/>
    <w:rsid w:val="000E1F65"/>
    <w:rsid w:val="000E5C69"/>
    <w:rsid w:val="000E5FC6"/>
    <w:rsid w:val="000F2639"/>
    <w:rsid w:val="000F2AC7"/>
    <w:rsid w:val="000F32A8"/>
    <w:rsid w:val="000F4453"/>
    <w:rsid w:val="000F527B"/>
    <w:rsid w:val="000F603B"/>
    <w:rsid w:val="00101E10"/>
    <w:rsid w:val="00103047"/>
    <w:rsid w:val="00104298"/>
    <w:rsid w:val="0010456C"/>
    <w:rsid w:val="001054F0"/>
    <w:rsid w:val="00112237"/>
    <w:rsid w:val="00112ADB"/>
    <w:rsid w:val="00114413"/>
    <w:rsid w:val="0011445C"/>
    <w:rsid w:val="00114911"/>
    <w:rsid w:val="00120FCB"/>
    <w:rsid w:val="00123B9D"/>
    <w:rsid w:val="00124C70"/>
    <w:rsid w:val="00126CDA"/>
    <w:rsid w:val="00131306"/>
    <w:rsid w:val="00131E42"/>
    <w:rsid w:val="0013476D"/>
    <w:rsid w:val="00135D7E"/>
    <w:rsid w:val="00135EA0"/>
    <w:rsid w:val="0013607D"/>
    <w:rsid w:val="00137419"/>
    <w:rsid w:val="00137C59"/>
    <w:rsid w:val="00140F3B"/>
    <w:rsid w:val="00141D70"/>
    <w:rsid w:val="00142500"/>
    <w:rsid w:val="00144AEB"/>
    <w:rsid w:val="001462DF"/>
    <w:rsid w:val="00147358"/>
    <w:rsid w:val="00147FC4"/>
    <w:rsid w:val="00151FB2"/>
    <w:rsid w:val="001532F2"/>
    <w:rsid w:val="00155556"/>
    <w:rsid w:val="0015612E"/>
    <w:rsid w:val="00156AB8"/>
    <w:rsid w:val="00160EAA"/>
    <w:rsid w:val="0016267C"/>
    <w:rsid w:val="00164786"/>
    <w:rsid w:val="00164F9C"/>
    <w:rsid w:val="00165635"/>
    <w:rsid w:val="00167337"/>
    <w:rsid w:val="00173B85"/>
    <w:rsid w:val="00174BBD"/>
    <w:rsid w:val="00174FC1"/>
    <w:rsid w:val="00175495"/>
    <w:rsid w:val="00176259"/>
    <w:rsid w:val="0017706F"/>
    <w:rsid w:val="00177895"/>
    <w:rsid w:val="00181FA9"/>
    <w:rsid w:val="0018245F"/>
    <w:rsid w:val="0018290F"/>
    <w:rsid w:val="00185EE3"/>
    <w:rsid w:val="00187BE0"/>
    <w:rsid w:val="0019124C"/>
    <w:rsid w:val="0019152D"/>
    <w:rsid w:val="0019160D"/>
    <w:rsid w:val="00193060"/>
    <w:rsid w:val="00193937"/>
    <w:rsid w:val="001A0B0C"/>
    <w:rsid w:val="001A155F"/>
    <w:rsid w:val="001A3E69"/>
    <w:rsid w:val="001A6499"/>
    <w:rsid w:val="001A6DA8"/>
    <w:rsid w:val="001B052B"/>
    <w:rsid w:val="001B0576"/>
    <w:rsid w:val="001B1AEF"/>
    <w:rsid w:val="001B1E30"/>
    <w:rsid w:val="001B6048"/>
    <w:rsid w:val="001B7A8B"/>
    <w:rsid w:val="001C1AFD"/>
    <w:rsid w:val="001C2B67"/>
    <w:rsid w:val="001C41C8"/>
    <w:rsid w:val="001C6DCC"/>
    <w:rsid w:val="001C7068"/>
    <w:rsid w:val="001D1BBC"/>
    <w:rsid w:val="001D2E7A"/>
    <w:rsid w:val="001D37E3"/>
    <w:rsid w:val="001D3863"/>
    <w:rsid w:val="001D488F"/>
    <w:rsid w:val="001D6D08"/>
    <w:rsid w:val="001E232D"/>
    <w:rsid w:val="001E28D8"/>
    <w:rsid w:val="001E4438"/>
    <w:rsid w:val="001E5149"/>
    <w:rsid w:val="001E51B9"/>
    <w:rsid w:val="001E5E93"/>
    <w:rsid w:val="001E671F"/>
    <w:rsid w:val="001E6E26"/>
    <w:rsid w:val="001E7310"/>
    <w:rsid w:val="001F028D"/>
    <w:rsid w:val="001F1233"/>
    <w:rsid w:val="001F1458"/>
    <w:rsid w:val="001F1FB1"/>
    <w:rsid w:val="001F2C79"/>
    <w:rsid w:val="001F4145"/>
    <w:rsid w:val="001F4E8C"/>
    <w:rsid w:val="001F5905"/>
    <w:rsid w:val="001F676D"/>
    <w:rsid w:val="001F7A59"/>
    <w:rsid w:val="0020039C"/>
    <w:rsid w:val="002042AE"/>
    <w:rsid w:val="002047DB"/>
    <w:rsid w:val="00206960"/>
    <w:rsid w:val="00206B36"/>
    <w:rsid w:val="00212994"/>
    <w:rsid w:val="00213FAB"/>
    <w:rsid w:val="00215900"/>
    <w:rsid w:val="002247F1"/>
    <w:rsid w:val="00224CFE"/>
    <w:rsid w:val="00226047"/>
    <w:rsid w:val="0023214C"/>
    <w:rsid w:val="0023279E"/>
    <w:rsid w:val="00233CB2"/>
    <w:rsid w:val="002347CA"/>
    <w:rsid w:val="00235F82"/>
    <w:rsid w:val="002377E0"/>
    <w:rsid w:val="002426AE"/>
    <w:rsid w:val="002427FB"/>
    <w:rsid w:val="00242F01"/>
    <w:rsid w:val="00243F04"/>
    <w:rsid w:val="00250A64"/>
    <w:rsid w:val="00252255"/>
    <w:rsid w:val="00252511"/>
    <w:rsid w:val="002529F2"/>
    <w:rsid w:val="00252E1A"/>
    <w:rsid w:val="00253A0E"/>
    <w:rsid w:val="002576E6"/>
    <w:rsid w:val="00257F60"/>
    <w:rsid w:val="00263982"/>
    <w:rsid w:val="0026496A"/>
    <w:rsid w:val="00264BBD"/>
    <w:rsid w:val="00265169"/>
    <w:rsid w:val="00266285"/>
    <w:rsid w:val="002676FB"/>
    <w:rsid w:val="00270604"/>
    <w:rsid w:val="00275B21"/>
    <w:rsid w:val="00282634"/>
    <w:rsid w:val="0028307B"/>
    <w:rsid w:val="002833EB"/>
    <w:rsid w:val="0028386C"/>
    <w:rsid w:val="00286BD0"/>
    <w:rsid w:val="00286FB7"/>
    <w:rsid w:val="00291C3E"/>
    <w:rsid w:val="002928E8"/>
    <w:rsid w:val="00294AF6"/>
    <w:rsid w:val="00295E63"/>
    <w:rsid w:val="00296204"/>
    <w:rsid w:val="00297468"/>
    <w:rsid w:val="00297CD3"/>
    <w:rsid w:val="002A0EDB"/>
    <w:rsid w:val="002A3E08"/>
    <w:rsid w:val="002A42AC"/>
    <w:rsid w:val="002A4720"/>
    <w:rsid w:val="002A5BB3"/>
    <w:rsid w:val="002B228A"/>
    <w:rsid w:val="002B41C9"/>
    <w:rsid w:val="002B4364"/>
    <w:rsid w:val="002B5E0F"/>
    <w:rsid w:val="002C00F7"/>
    <w:rsid w:val="002C1D3B"/>
    <w:rsid w:val="002C1DC1"/>
    <w:rsid w:val="002C220B"/>
    <w:rsid w:val="002C37CF"/>
    <w:rsid w:val="002C543E"/>
    <w:rsid w:val="002C5FA0"/>
    <w:rsid w:val="002C60C8"/>
    <w:rsid w:val="002D1D8F"/>
    <w:rsid w:val="002D2FB1"/>
    <w:rsid w:val="002D4CC5"/>
    <w:rsid w:val="002D73C7"/>
    <w:rsid w:val="002E4B49"/>
    <w:rsid w:val="002E6697"/>
    <w:rsid w:val="002E732E"/>
    <w:rsid w:val="002E7E77"/>
    <w:rsid w:val="002F20C0"/>
    <w:rsid w:val="003004A4"/>
    <w:rsid w:val="003008A0"/>
    <w:rsid w:val="00300CE7"/>
    <w:rsid w:val="00301388"/>
    <w:rsid w:val="0030170F"/>
    <w:rsid w:val="00301D47"/>
    <w:rsid w:val="00302256"/>
    <w:rsid w:val="0030342B"/>
    <w:rsid w:val="00304E4D"/>
    <w:rsid w:val="00306225"/>
    <w:rsid w:val="00313783"/>
    <w:rsid w:val="00314343"/>
    <w:rsid w:val="0031700F"/>
    <w:rsid w:val="00317AEF"/>
    <w:rsid w:val="003207D2"/>
    <w:rsid w:val="00320DB7"/>
    <w:rsid w:val="00321346"/>
    <w:rsid w:val="00324EF3"/>
    <w:rsid w:val="003309D5"/>
    <w:rsid w:val="0033100C"/>
    <w:rsid w:val="00332FE1"/>
    <w:rsid w:val="003330BD"/>
    <w:rsid w:val="00334A58"/>
    <w:rsid w:val="00335522"/>
    <w:rsid w:val="003362E3"/>
    <w:rsid w:val="0033678A"/>
    <w:rsid w:val="003369CA"/>
    <w:rsid w:val="00340659"/>
    <w:rsid w:val="00341607"/>
    <w:rsid w:val="0034369F"/>
    <w:rsid w:val="00346DAC"/>
    <w:rsid w:val="003503E7"/>
    <w:rsid w:val="00350BB9"/>
    <w:rsid w:val="00355BA8"/>
    <w:rsid w:val="00361CD4"/>
    <w:rsid w:val="00362447"/>
    <w:rsid w:val="00365242"/>
    <w:rsid w:val="003669EB"/>
    <w:rsid w:val="00367994"/>
    <w:rsid w:val="0037269D"/>
    <w:rsid w:val="00372BC1"/>
    <w:rsid w:val="00373F16"/>
    <w:rsid w:val="00374839"/>
    <w:rsid w:val="00375495"/>
    <w:rsid w:val="003755FA"/>
    <w:rsid w:val="0037581E"/>
    <w:rsid w:val="00375F87"/>
    <w:rsid w:val="003763C6"/>
    <w:rsid w:val="00380E34"/>
    <w:rsid w:val="00381B8C"/>
    <w:rsid w:val="003825EE"/>
    <w:rsid w:val="00383973"/>
    <w:rsid w:val="00384159"/>
    <w:rsid w:val="00386A36"/>
    <w:rsid w:val="00390138"/>
    <w:rsid w:val="003904FF"/>
    <w:rsid w:val="003906F6"/>
    <w:rsid w:val="00392F5E"/>
    <w:rsid w:val="00396628"/>
    <w:rsid w:val="0039666D"/>
    <w:rsid w:val="003A03AD"/>
    <w:rsid w:val="003A0EF7"/>
    <w:rsid w:val="003A1794"/>
    <w:rsid w:val="003A1DFD"/>
    <w:rsid w:val="003A3A27"/>
    <w:rsid w:val="003A43A4"/>
    <w:rsid w:val="003A4408"/>
    <w:rsid w:val="003A4BB6"/>
    <w:rsid w:val="003B23CF"/>
    <w:rsid w:val="003B2581"/>
    <w:rsid w:val="003B278F"/>
    <w:rsid w:val="003B3447"/>
    <w:rsid w:val="003B4355"/>
    <w:rsid w:val="003B7061"/>
    <w:rsid w:val="003B7A4A"/>
    <w:rsid w:val="003C05F9"/>
    <w:rsid w:val="003C0AFA"/>
    <w:rsid w:val="003C0BDA"/>
    <w:rsid w:val="003C0F23"/>
    <w:rsid w:val="003C45A9"/>
    <w:rsid w:val="003C5691"/>
    <w:rsid w:val="003C582F"/>
    <w:rsid w:val="003C6161"/>
    <w:rsid w:val="003C7B73"/>
    <w:rsid w:val="003D0876"/>
    <w:rsid w:val="003D2037"/>
    <w:rsid w:val="003D2BCE"/>
    <w:rsid w:val="003D4E1B"/>
    <w:rsid w:val="003D614B"/>
    <w:rsid w:val="003D641A"/>
    <w:rsid w:val="003D78CC"/>
    <w:rsid w:val="003E067E"/>
    <w:rsid w:val="003E0E23"/>
    <w:rsid w:val="003E345E"/>
    <w:rsid w:val="003F0C92"/>
    <w:rsid w:val="003F14CF"/>
    <w:rsid w:val="003F37C4"/>
    <w:rsid w:val="003F463B"/>
    <w:rsid w:val="003F7666"/>
    <w:rsid w:val="004006C8"/>
    <w:rsid w:val="00403995"/>
    <w:rsid w:val="00405510"/>
    <w:rsid w:val="00405C20"/>
    <w:rsid w:val="004117CC"/>
    <w:rsid w:val="00412C4F"/>
    <w:rsid w:val="00415108"/>
    <w:rsid w:val="00415B77"/>
    <w:rsid w:val="00422AD9"/>
    <w:rsid w:val="00424307"/>
    <w:rsid w:val="00424FD8"/>
    <w:rsid w:val="00425143"/>
    <w:rsid w:val="00425727"/>
    <w:rsid w:val="00426A2B"/>
    <w:rsid w:val="00427CBE"/>
    <w:rsid w:val="00430B04"/>
    <w:rsid w:val="00430BF2"/>
    <w:rsid w:val="004311A5"/>
    <w:rsid w:val="00432CA3"/>
    <w:rsid w:val="00435821"/>
    <w:rsid w:val="00436D28"/>
    <w:rsid w:val="0043796F"/>
    <w:rsid w:val="00437CB4"/>
    <w:rsid w:val="004405C0"/>
    <w:rsid w:val="00441F33"/>
    <w:rsid w:val="00443606"/>
    <w:rsid w:val="00444341"/>
    <w:rsid w:val="00445F24"/>
    <w:rsid w:val="004462B8"/>
    <w:rsid w:val="004510D1"/>
    <w:rsid w:val="0045195E"/>
    <w:rsid w:val="00453149"/>
    <w:rsid w:val="004555D8"/>
    <w:rsid w:val="00460214"/>
    <w:rsid w:val="00460FCC"/>
    <w:rsid w:val="00465B26"/>
    <w:rsid w:val="0047109B"/>
    <w:rsid w:val="004710E0"/>
    <w:rsid w:val="00471CE2"/>
    <w:rsid w:val="0047685E"/>
    <w:rsid w:val="004778F3"/>
    <w:rsid w:val="00477CB7"/>
    <w:rsid w:val="00481274"/>
    <w:rsid w:val="00481DA8"/>
    <w:rsid w:val="0048326C"/>
    <w:rsid w:val="00484875"/>
    <w:rsid w:val="00485E1A"/>
    <w:rsid w:val="0048615C"/>
    <w:rsid w:val="0049034F"/>
    <w:rsid w:val="00490926"/>
    <w:rsid w:val="0049102B"/>
    <w:rsid w:val="00491836"/>
    <w:rsid w:val="004963D7"/>
    <w:rsid w:val="00496F82"/>
    <w:rsid w:val="004971F8"/>
    <w:rsid w:val="004A0DEF"/>
    <w:rsid w:val="004A1F30"/>
    <w:rsid w:val="004A324A"/>
    <w:rsid w:val="004A484D"/>
    <w:rsid w:val="004A619F"/>
    <w:rsid w:val="004A6718"/>
    <w:rsid w:val="004A67D8"/>
    <w:rsid w:val="004A6D16"/>
    <w:rsid w:val="004A7A2E"/>
    <w:rsid w:val="004B04C5"/>
    <w:rsid w:val="004B374B"/>
    <w:rsid w:val="004B4ADA"/>
    <w:rsid w:val="004B62E4"/>
    <w:rsid w:val="004C04B0"/>
    <w:rsid w:val="004C06C9"/>
    <w:rsid w:val="004C2809"/>
    <w:rsid w:val="004C70F7"/>
    <w:rsid w:val="004C77A1"/>
    <w:rsid w:val="004C7B04"/>
    <w:rsid w:val="004C7D81"/>
    <w:rsid w:val="004D2C3B"/>
    <w:rsid w:val="004D4A0B"/>
    <w:rsid w:val="004D4DD0"/>
    <w:rsid w:val="004E289E"/>
    <w:rsid w:val="004E2F4B"/>
    <w:rsid w:val="004E3892"/>
    <w:rsid w:val="004E45F2"/>
    <w:rsid w:val="004E6557"/>
    <w:rsid w:val="004E7D8C"/>
    <w:rsid w:val="004E7DB8"/>
    <w:rsid w:val="004F2BDD"/>
    <w:rsid w:val="004F48F3"/>
    <w:rsid w:val="004F57DA"/>
    <w:rsid w:val="004F617E"/>
    <w:rsid w:val="004F7212"/>
    <w:rsid w:val="00501FD6"/>
    <w:rsid w:val="00502DA0"/>
    <w:rsid w:val="00503E97"/>
    <w:rsid w:val="00504EED"/>
    <w:rsid w:val="00505C45"/>
    <w:rsid w:val="0051074A"/>
    <w:rsid w:val="005116CD"/>
    <w:rsid w:val="00511F27"/>
    <w:rsid w:val="005134E3"/>
    <w:rsid w:val="00513F07"/>
    <w:rsid w:val="00520157"/>
    <w:rsid w:val="0052280F"/>
    <w:rsid w:val="00525AAB"/>
    <w:rsid w:val="0052769E"/>
    <w:rsid w:val="00530421"/>
    <w:rsid w:val="005326EF"/>
    <w:rsid w:val="0053353E"/>
    <w:rsid w:val="00536033"/>
    <w:rsid w:val="005370A9"/>
    <w:rsid w:val="00541AA4"/>
    <w:rsid w:val="00543B6B"/>
    <w:rsid w:val="00546BCE"/>
    <w:rsid w:val="0054701C"/>
    <w:rsid w:val="00547CBB"/>
    <w:rsid w:val="00550D06"/>
    <w:rsid w:val="00551096"/>
    <w:rsid w:val="00556889"/>
    <w:rsid w:val="005570B9"/>
    <w:rsid w:val="00560276"/>
    <w:rsid w:val="005642FB"/>
    <w:rsid w:val="005654A6"/>
    <w:rsid w:val="005700BD"/>
    <w:rsid w:val="005701F9"/>
    <w:rsid w:val="0057075A"/>
    <w:rsid w:val="0058348E"/>
    <w:rsid w:val="00583FF6"/>
    <w:rsid w:val="00584DB3"/>
    <w:rsid w:val="00586294"/>
    <w:rsid w:val="00590948"/>
    <w:rsid w:val="005923DE"/>
    <w:rsid w:val="00593B62"/>
    <w:rsid w:val="00594FB0"/>
    <w:rsid w:val="005956C5"/>
    <w:rsid w:val="0059619D"/>
    <w:rsid w:val="005A0B97"/>
    <w:rsid w:val="005A17C9"/>
    <w:rsid w:val="005A76C7"/>
    <w:rsid w:val="005B2D12"/>
    <w:rsid w:val="005B36AD"/>
    <w:rsid w:val="005B387C"/>
    <w:rsid w:val="005B3FEA"/>
    <w:rsid w:val="005B4020"/>
    <w:rsid w:val="005B7553"/>
    <w:rsid w:val="005B7B08"/>
    <w:rsid w:val="005C0FF1"/>
    <w:rsid w:val="005C1591"/>
    <w:rsid w:val="005C284D"/>
    <w:rsid w:val="005C2CE7"/>
    <w:rsid w:val="005C3212"/>
    <w:rsid w:val="005D2AF6"/>
    <w:rsid w:val="005D4EFF"/>
    <w:rsid w:val="005D602C"/>
    <w:rsid w:val="005E0F07"/>
    <w:rsid w:val="005E0FF5"/>
    <w:rsid w:val="005E14FD"/>
    <w:rsid w:val="005E2236"/>
    <w:rsid w:val="005E4F24"/>
    <w:rsid w:val="005E537C"/>
    <w:rsid w:val="005E7965"/>
    <w:rsid w:val="005F398B"/>
    <w:rsid w:val="005F3F3E"/>
    <w:rsid w:val="005F6D94"/>
    <w:rsid w:val="005F753F"/>
    <w:rsid w:val="00603664"/>
    <w:rsid w:val="0060384D"/>
    <w:rsid w:val="00603FBF"/>
    <w:rsid w:val="00604B31"/>
    <w:rsid w:val="00605D2A"/>
    <w:rsid w:val="00606906"/>
    <w:rsid w:val="00606B62"/>
    <w:rsid w:val="00607EEC"/>
    <w:rsid w:val="00610440"/>
    <w:rsid w:val="006104CF"/>
    <w:rsid w:val="00610B63"/>
    <w:rsid w:val="00611645"/>
    <w:rsid w:val="00612BD1"/>
    <w:rsid w:val="00612D94"/>
    <w:rsid w:val="0061455C"/>
    <w:rsid w:val="006160C2"/>
    <w:rsid w:val="0061785E"/>
    <w:rsid w:val="00617EC6"/>
    <w:rsid w:val="00620FB1"/>
    <w:rsid w:val="006227AD"/>
    <w:rsid w:val="0062680A"/>
    <w:rsid w:val="00633C68"/>
    <w:rsid w:val="00633FB3"/>
    <w:rsid w:val="00635A89"/>
    <w:rsid w:val="00635F70"/>
    <w:rsid w:val="00636464"/>
    <w:rsid w:val="00637671"/>
    <w:rsid w:val="006461EE"/>
    <w:rsid w:val="00646E97"/>
    <w:rsid w:val="0064729E"/>
    <w:rsid w:val="0065081E"/>
    <w:rsid w:val="00651882"/>
    <w:rsid w:val="00652CD5"/>
    <w:rsid w:val="0066098D"/>
    <w:rsid w:val="00660F43"/>
    <w:rsid w:val="006614D6"/>
    <w:rsid w:val="00661534"/>
    <w:rsid w:val="00661FB2"/>
    <w:rsid w:val="006663AC"/>
    <w:rsid w:val="006671D8"/>
    <w:rsid w:val="006703FE"/>
    <w:rsid w:val="00672D5C"/>
    <w:rsid w:val="00674E3C"/>
    <w:rsid w:val="00676254"/>
    <w:rsid w:val="006764AE"/>
    <w:rsid w:val="00676780"/>
    <w:rsid w:val="00676D9E"/>
    <w:rsid w:val="006825B2"/>
    <w:rsid w:val="006826F8"/>
    <w:rsid w:val="00682794"/>
    <w:rsid w:val="00683B13"/>
    <w:rsid w:val="00683BB1"/>
    <w:rsid w:val="006845B9"/>
    <w:rsid w:val="00686B28"/>
    <w:rsid w:val="00687B7E"/>
    <w:rsid w:val="00690828"/>
    <w:rsid w:val="00693CAE"/>
    <w:rsid w:val="00696F54"/>
    <w:rsid w:val="0069773A"/>
    <w:rsid w:val="00697B0D"/>
    <w:rsid w:val="00697FEE"/>
    <w:rsid w:val="006A5D63"/>
    <w:rsid w:val="006A69EB"/>
    <w:rsid w:val="006A7765"/>
    <w:rsid w:val="006B2645"/>
    <w:rsid w:val="006B2A82"/>
    <w:rsid w:val="006B3F0F"/>
    <w:rsid w:val="006B5410"/>
    <w:rsid w:val="006B6331"/>
    <w:rsid w:val="006B74CD"/>
    <w:rsid w:val="006C0821"/>
    <w:rsid w:val="006C0D28"/>
    <w:rsid w:val="006C1013"/>
    <w:rsid w:val="006C1FC3"/>
    <w:rsid w:val="006C2CC5"/>
    <w:rsid w:val="006C4E19"/>
    <w:rsid w:val="006C54F6"/>
    <w:rsid w:val="006C6FF6"/>
    <w:rsid w:val="006C7536"/>
    <w:rsid w:val="006C783C"/>
    <w:rsid w:val="006D04B4"/>
    <w:rsid w:val="006D04F2"/>
    <w:rsid w:val="006D05D5"/>
    <w:rsid w:val="006D357F"/>
    <w:rsid w:val="006D7605"/>
    <w:rsid w:val="006D7B6C"/>
    <w:rsid w:val="006D7EB8"/>
    <w:rsid w:val="006E27DF"/>
    <w:rsid w:val="006E2D7D"/>
    <w:rsid w:val="006E2EC6"/>
    <w:rsid w:val="006E56B4"/>
    <w:rsid w:val="006E5763"/>
    <w:rsid w:val="006E5B39"/>
    <w:rsid w:val="006E6F00"/>
    <w:rsid w:val="006F0C24"/>
    <w:rsid w:val="006F141D"/>
    <w:rsid w:val="006F3608"/>
    <w:rsid w:val="006F4897"/>
    <w:rsid w:val="006F4CBC"/>
    <w:rsid w:val="006F6460"/>
    <w:rsid w:val="006F74C3"/>
    <w:rsid w:val="00701484"/>
    <w:rsid w:val="00702398"/>
    <w:rsid w:val="007036AC"/>
    <w:rsid w:val="00703EFF"/>
    <w:rsid w:val="00705355"/>
    <w:rsid w:val="0070615E"/>
    <w:rsid w:val="0070756F"/>
    <w:rsid w:val="0071340E"/>
    <w:rsid w:val="00714679"/>
    <w:rsid w:val="00715EDD"/>
    <w:rsid w:val="0072002E"/>
    <w:rsid w:val="00720B22"/>
    <w:rsid w:val="00722039"/>
    <w:rsid w:val="00722D53"/>
    <w:rsid w:val="00724688"/>
    <w:rsid w:val="00726086"/>
    <w:rsid w:val="00730D09"/>
    <w:rsid w:val="00731605"/>
    <w:rsid w:val="00732984"/>
    <w:rsid w:val="00740EB3"/>
    <w:rsid w:val="00741FAF"/>
    <w:rsid w:val="007427E5"/>
    <w:rsid w:val="007501B0"/>
    <w:rsid w:val="00752BB6"/>
    <w:rsid w:val="00752BFD"/>
    <w:rsid w:val="00753236"/>
    <w:rsid w:val="00755A76"/>
    <w:rsid w:val="00756466"/>
    <w:rsid w:val="00756BA2"/>
    <w:rsid w:val="00760D7F"/>
    <w:rsid w:val="00761486"/>
    <w:rsid w:val="007634C4"/>
    <w:rsid w:val="00764234"/>
    <w:rsid w:val="00766B0A"/>
    <w:rsid w:val="00766C48"/>
    <w:rsid w:val="0076784B"/>
    <w:rsid w:val="00770A91"/>
    <w:rsid w:val="00772DCC"/>
    <w:rsid w:val="0077586F"/>
    <w:rsid w:val="00776FF2"/>
    <w:rsid w:val="0078327A"/>
    <w:rsid w:val="007936C9"/>
    <w:rsid w:val="0079422F"/>
    <w:rsid w:val="007972F7"/>
    <w:rsid w:val="00797A20"/>
    <w:rsid w:val="00797FF2"/>
    <w:rsid w:val="007A2170"/>
    <w:rsid w:val="007A255F"/>
    <w:rsid w:val="007A2AB2"/>
    <w:rsid w:val="007A4AEA"/>
    <w:rsid w:val="007A4C83"/>
    <w:rsid w:val="007A55F8"/>
    <w:rsid w:val="007A71F6"/>
    <w:rsid w:val="007B09E6"/>
    <w:rsid w:val="007B1686"/>
    <w:rsid w:val="007B1F48"/>
    <w:rsid w:val="007B410B"/>
    <w:rsid w:val="007B450E"/>
    <w:rsid w:val="007B568F"/>
    <w:rsid w:val="007B5BAD"/>
    <w:rsid w:val="007C1E8E"/>
    <w:rsid w:val="007C4877"/>
    <w:rsid w:val="007C5C0D"/>
    <w:rsid w:val="007C5C3D"/>
    <w:rsid w:val="007C6273"/>
    <w:rsid w:val="007C7500"/>
    <w:rsid w:val="007D37BC"/>
    <w:rsid w:val="007D78F9"/>
    <w:rsid w:val="007E13C8"/>
    <w:rsid w:val="007E1681"/>
    <w:rsid w:val="007E250D"/>
    <w:rsid w:val="007E28D4"/>
    <w:rsid w:val="007E4FAB"/>
    <w:rsid w:val="007F1060"/>
    <w:rsid w:val="007F1B80"/>
    <w:rsid w:val="007F1CE3"/>
    <w:rsid w:val="007F2BE0"/>
    <w:rsid w:val="007F5F17"/>
    <w:rsid w:val="007F6771"/>
    <w:rsid w:val="00803575"/>
    <w:rsid w:val="00804DF6"/>
    <w:rsid w:val="00805601"/>
    <w:rsid w:val="00805C85"/>
    <w:rsid w:val="00811927"/>
    <w:rsid w:val="008130B4"/>
    <w:rsid w:val="00814BD5"/>
    <w:rsid w:val="00816699"/>
    <w:rsid w:val="00817FCF"/>
    <w:rsid w:val="008224FA"/>
    <w:rsid w:val="00823E32"/>
    <w:rsid w:val="008240D7"/>
    <w:rsid w:val="008243A8"/>
    <w:rsid w:val="00825B69"/>
    <w:rsid w:val="00826165"/>
    <w:rsid w:val="008276FD"/>
    <w:rsid w:val="00830CB4"/>
    <w:rsid w:val="00831232"/>
    <w:rsid w:val="008319E5"/>
    <w:rsid w:val="00831D43"/>
    <w:rsid w:val="00832567"/>
    <w:rsid w:val="0083376D"/>
    <w:rsid w:val="00833F2F"/>
    <w:rsid w:val="0083592B"/>
    <w:rsid w:val="00836319"/>
    <w:rsid w:val="00837498"/>
    <w:rsid w:val="00837EBC"/>
    <w:rsid w:val="00840BA7"/>
    <w:rsid w:val="00840F52"/>
    <w:rsid w:val="008474E6"/>
    <w:rsid w:val="00847F6C"/>
    <w:rsid w:val="0085051C"/>
    <w:rsid w:val="00851DDD"/>
    <w:rsid w:val="008551AE"/>
    <w:rsid w:val="00855685"/>
    <w:rsid w:val="008563F9"/>
    <w:rsid w:val="00856BDE"/>
    <w:rsid w:val="0086014A"/>
    <w:rsid w:val="008661A0"/>
    <w:rsid w:val="008676FB"/>
    <w:rsid w:val="00867F7D"/>
    <w:rsid w:val="008707A9"/>
    <w:rsid w:val="008712FF"/>
    <w:rsid w:val="0087224C"/>
    <w:rsid w:val="008723A9"/>
    <w:rsid w:val="0087628B"/>
    <w:rsid w:val="00876C58"/>
    <w:rsid w:val="00880359"/>
    <w:rsid w:val="00881110"/>
    <w:rsid w:val="00881439"/>
    <w:rsid w:val="00881D9D"/>
    <w:rsid w:val="00885821"/>
    <w:rsid w:val="0089101C"/>
    <w:rsid w:val="00891777"/>
    <w:rsid w:val="00892B0D"/>
    <w:rsid w:val="00893B8D"/>
    <w:rsid w:val="008951BF"/>
    <w:rsid w:val="008976D0"/>
    <w:rsid w:val="00897F46"/>
    <w:rsid w:val="008A0210"/>
    <w:rsid w:val="008A02B8"/>
    <w:rsid w:val="008A2148"/>
    <w:rsid w:val="008A3E94"/>
    <w:rsid w:val="008A652D"/>
    <w:rsid w:val="008A7015"/>
    <w:rsid w:val="008B1168"/>
    <w:rsid w:val="008B4843"/>
    <w:rsid w:val="008B6AE5"/>
    <w:rsid w:val="008C1052"/>
    <w:rsid w:val="008C168F"/>
    <w:rsid w:val="008C2F0C"/>
    <w:rsid w:val="008C42A3"/>
    <w:rsid w:val="008C6C5A"/>
    <w:rsid w:val="008C6E81"/>
    <w:rsid w:val="008C723E"/>
    <w:rsid w:val="008C7EDD"/>
    <w:rsid w:val="008D06BA"/>
    <w:rsid w:val="008D179D"/>
    <w:rsid w:val="008D3556"/>
    <w:rsid w:val="008D4A1D"/>
    <w:rsid w:val="008D5199"/>
    <w:rsid w:val="008D53F8"/>
    <w:rsid w:val="008E0D04"/>
    <w:rsid w:val="008E13C8"/>
    <w:rsid w:val="008E1EB4"/>
    <w:rsid w:val="008E28C0"/>
    <w:rsid w:val="008E2A31"/>
    <w:rsid w:val="008E3BD6"/>
    <w:rsid w:val="008E63BA"/>
    <w:rsid w:val="008F09AB"/>
    <w:rsid w:val="008F168A"/>
    <w:rsid w:val="008F2B4D"/>
    <w:rsid w:val="008F3BB2"/>
    <w:rsid w:val="008F588C"/>
    <w:rsid w:val="008F59BF"/>
    <w:rsid w:val="008F6F1D"/>
    <w:rsid w:val="00902183"/>
    <w:rsid w:val="0090223D"/>
    <w:rsid w:val="00902FF9"/>
    <w:rsid w:val="0090376C"/>
    <w:rsid w:val="009048FD"/>
    <w:rsid w:val="00907B3D"/>
    <w:rsid w:val="00907D1C"/>
    <w:rsid w:val="00911654"/>
    <w:rsid w:val="009128D4"/>
    <w:rsid w:val="00915183"/>
    <w:rsid w:val="009157E2"/>
    <w:rsid w:val="00916888"/>
    <w:rsid w:val="00916C81"/>
    <w:rsid w:val="009173E6"/>
    <w:rsid w:val="00917B3A"/>
    <w:rsid w:val="00917B9B"/>
    <w:rsid w:val="009244F4"/>
    <w:rsid w:val="00924B68"/>
    <w:rsid w:val="0092563A"/>
    <w:rsid w:val="0092740B"/>
    <w:rsid w:val="009279E5"/>
    <w:rsid w:val="00932679"/>
    <w:rsid w:val="00932B66"/>
    <w:rsid w:val="00932D0E"/>
    <w:rsid w:val="00941265"/>
    <w:rsid w:val="00941463"/>
    <w:rsid w:val="0094392A"/>
    <w:rsid w:val="00943962"/>
    <w:rsid w:val="00943F03"/>
    <w:rsid w:val="00944966"/>
    <w:rsid w:val="009504AA"/>
    <w:rsid w:val="00951F9C"/>
    <w:rsid w:val="00963D82"/>
    <w:rsid w:val="00964AD2"/>
    <w:rsid w:val="00972004"/>
    <w:rsid w:val="00972510"/>
    <w:rsid w:val="00976EBE"/>
    <w:rsid w:val="00977FD0"/>
    <w:rsid w:val="009805C0"/>
    <w:rsid w:val="00981A5B"/>
    <w:rsid w:val="00981E7B"/>
    <w:rsid w:val="00984E46"/>
    <w:rsid w:val="00985E9C"/>
    <w:rsid w:val="009864DD"/>
    <w:rsid w:val="00995588"/>
    <w:rsid w:val="00997002"/>
    <w:rsid w:val="009A3312"/>
    <w:rsid w:val="009A4095"/>
    <w:rsid w:val="009A4BF9"/>
    <w:rsid w:val="009A5063"/>
    <w:rsid w:val="009A5277"/>
    <w:rsid w:val="009B06B9"/>
    <w:rsid w:val="009B0A63"/>
    <w:rsid w:val="009B3014"/>
    <w:rsid w:val="009B4561"/>
    <w:rsid w:val="009B4B23"/>
    <w:rsid w:val="009B5A52"/>
    <w:rsid w:val="009B7800"/>
    <w:rsid w:val="009B7A45"/>
    <w:rsid w:val="009B7D11"/>
    <w:rsid w:val="009C05A0"/>
    <w:rsid w:val="009C075D"/>
    <w:rsid w:val="009C11AA"/>
    <w:rsid w:val="009C2442"/>
    <w:rsid w:val="009C2989"/>
    <w:rsid w:val="009C32A2"/>
    <w:rsid w:val="009C49D9"/>
    <w:rsid w:val="009C53FF"/>
    <w:rsid w:val="009C6919"/>
    <w:rsid w:val="009D112E"/>
    <w:rsid w:val="009D1C93"/>
    <w:rsid w:val="009D40FE"/>
    <w:rsid w:val="009D464A"/>
    <w:rsid w:val="009D61A2"/>
    <w:rsid w:val="009E05A3"/>
    <w:rsid w:val="009E2AAA"/>
    <w:rsid w:val="009E31A3"/>
    <w:rsid w:val="009E6056"/>
    <w:rsid w:val="009E6416"/>
    <w:rsid w:val="009E6C19"/>
    <w:rsid w:val="009E6D74"/>
    <w:rsid w:val="009E73A4"/>
    <w:rsid w:val="009F0AB4"/>
    <w:rsid w:val="009F325B"/>
    <w:rsid w:val="009F4724"/>
    <w:rsid w:val="009F5560"/>
    <w:rsid w:val="009F5EDA"/>
    <w:rsid w:val="009F6A7D"/>
    <w:rsid w:val="009F7226"/>
    <w:rsid w:val="009F743E"/>
    <w:rsid w:val="00A00DFC"/>
    <w:rsid w:val="00A02910"/>
    <w:rsid w:val="00A03E4C"/>
    <w:rsid w:val="00A05E86"/>
    <w:rsid w:val="00A11955"/>
    <w:rsid w:val="00A14117"/>
    <w:rsid w:val="00A14A4F"/>
    <w:rsid w:val="00A14BF1"/>
    <w:rsid w:val="00A154B4"/>
    <w:rsid w:val="00A17724"/>
    <w:rsid w:val="00A20BD5"/>
    <w:rsid w:val="00A215CF"/>
    <w:rsid w:val="00A26610"/>
    <w:rsid w:val="00A33186"/>
    <w:rsid w:val="00A34625"/>
    <w:rsid w:val="00A37BEE"/>
    <w:rsid w:val="00A42101"/>
    <w:rsid w:val="00A449B6"/>
    <w:rsid w:val="00A45DE8"/>
    <w:rsid w:val="00A46698"/>
    <w:rsid w:val="00A46CFF"/>
    <w:rsid w:val="00A479A3"/>
    <w:rsid w:val="00A51392"/>
    <w:rsid w:val="00A536E7"/>
    <w:rsid w:val="00A538BA"/>
    <w:rsid w:val="00A5429B"/>
    <w:rsid w:val="00A57BD0"/>
    <w:rsid w:val="00A610B6"/>
    <w:rsid w:val="00A615CA"/>
    <w:rsid w:val="00A61AF7"/>
    <w:rsid w:val="00A634FE"/>
    <w:rsid w:val="00A63D76"/>
    <w:rsid w:val="00A64B9F"/>
    <w:rsid w:val="00A65F58"/>
    <w:rsid w:val="00A73E3C"/>
    <w:rsid w:val="00A73EF7"/>
    <w:rsid w:val="00A756C9"/>
    <w:rsid w:val="00A76061"/>
    <w:rsid w:val="00A7732A"/>
    <w:rsid w:val="00A8110B"/>
    <w:rsid w:val="00A83F61"/>
    <w:rsid w:val="00A872DF"/>
    <w:rsid w:val="00A900C1"/>
    <w:rsid w:val="00A90BBC"/>
    <w:rsid w:val="00A91E88"/>
    <w:rsid w:val="00A950B4"/>
    <w:rsid w:val="00A9526C"/>
    <w:rsid w:val="00A953E6"/>
    <w:rsid w:val="00A95B1C"/>
    <w:rsid w:val="00A9688E"/>
    <w:rsid w:val="00A96A59"/>
    <w:rsid w:val="00A9744C"/>
    <w:rsid w:val="00AA02B0"/>
    <w:rsid w:val="00AA1FFC"/>
    <w:rsid w:val="00AA4E74"/>
    <w:rsid w:val="00AA4E76"/>
    <w:rsid w:val="00AA7E16"/>
    <w:rsid w:val="00AB2573"/>
    <w:rsid w:val="00AB2E46"/>
    <w:rsid w:val="00AB3083"/>
    <w:rsid w:val="00AB5DD1"/>
    <w:rsid w:val="00AB72EF"/>
    <w:rsid w:val="00AB76E8"/>
    <w:rsid w:val="00AC065B"/>
    <w:rsid w:val="00AC1F42"/>
    <w:rsid w:val="00AC6EF1"/>
    <w:rsid w:val="00AD2B20"/>
    <w:rsid w:val="00AD2B9F"/>
    <w:rsid w:val="00AE0471"/>
    <w:rsid w:val="00AE0D51"/>
    <w:rsid w:val="00AE2168"/>
    <w:rsid w:val="00AE72D7"/>
    <w:rsid w:val="00AF0B2E"/>
    <w:rsid w:val="00AF5852"/>
    <w:rsid w:val="00AF606B"/>
    <w:rsid w:val="00AF6BFD"/>
    <w:rsid w:val="00B03426"/>
    <w:rsid w:val="00B03461"/>
    <w:rsid w:val="00B03D1E"/>
    <w:rsid w:val="00B048A8"/>
    <w:rsid w:val="00B06A02"/>
    <w:rsid w:val="00B075BE"/>
    <w:rsid w:val="00B176CF"/>
    <w:rsid w:val="00B221F8"/>
    <w:rsid w:val="00B2257B"/>
    <w:rsid w:val="00B22B97"/>
    <w:rsid w:val="00B25CED"/>
    <w:rsid w:val="00B26774"/>
    <w:rsid w:val="00B27246"/>
    <w:rsid w:val="00B27FB7"/>
    <w:rsid w:val="00B32A5A"/>
    <w:rsid w:val="00B346E0"/>
    <w:rsid w:val="00B40403"/>
    <w:rsid w:val="00B40539"/>
    <w:rsid w:val="00B41822"/>
    <w:rsid w:val="00B42B0B"/>
    <w:rsid w:val="00B440C2"/>
    <w:rsid w:val="00B455E9"/>
    <w:rsid w:val="00B46A8E"/>
    <w:rsid w:val="00B4728F"/>
    <w:rsid w:val="00B477EC"/>
    <w:rsid w:val="00B547AA"/>
    <w:rsid w:val="00B564FF"/>
    <w:rsid w:val="00B60C40"/>
    <w:rsid w:val="00B64186"/>
    <w:rsid w:val="00B6712F"/>
    <w:rsid w:val="00B67EDA"/>
    <w:rsid w:val="00B7051B"/>
    <w:rsid w:val="00B70D5C"/>
    <w:rsid w:val="00B70EC4"/>
    <w:rsid w:val="00B72EB0"/>
    <w:rsid w:val="00B72F93"/>
    <w:rsid w:val="00B74561"/>
    <w:rsid w:val="00B7457F"/>
    <w:rsid w:val="00B74A21"/>
    <w:rsid w:val="00B77FA3"/>
    <w:rsid w:val="00B80723"/>
    <w:rsid w:val="00B80C4D"/>
    <w:rsid w:val="00B80E58"/>
    <w:rsid w:val="00B838F6"/>
    <w:rsid w:val="00B91B1F"/>
    <w:rsid w:val="00B9296D"/>
    <w:rsid w:val="00B939C0"/>
    <w:rsid w:val="00B967C4"/>
    <w:rsid w:val="00B97274"/>
    <w:rsid w:val="00B975CB"/>
    <w:rsid w:val="00BA0318"/>
    <w:rsid w:val="00BA0358"/>
    <w:rsid w:val="00BA1B05"/>
    <w:rsid w:val="00BA39A6"/>
    <w:rsid w:val="00BA3B1F"/>
    <w:rsid w:val="00BA5511"/>
    <w:rsid w:val="00BA6CA0"/>
    <w:rsid w:val="00BA6EEA"/>
    <w:rsid w:val="00BB4D7F"/>
    <w:rsid w:val="00BB6E33"/>
    <w:rsid w:val="00BB6E7D"/>
    <w:rsid w:val="00BC0CB4"/>
    <w:rsid w:val="00BC209E"/>
    <w:rsid w:val="00BC4167"/>
    <w:rsid w:val="00BC4347"/>
    <w:rsid w:val="00BC58F0"/>
    <w:rsid w:val="00BC6940"/>
    <w:rsid w:val="00BD0834"/>
    <w:rsid w:val="00BD12CC"/>
    <w:rsid w:val="00BD19A9"/>
    <w:rsid w:val="00BD2978"/>
    <w:rsid w:val="00BD2AE0"/>
    <w:rsid w:val="00BD3030"/>
    <w:rsid w:val="00BD30A2"/>
    <w:rsid w:val="00BD3A62"/>
    <w:rsid w:val="00BD4299"/>
    <w:rsid w:val="00BD6481"/>
    <w:rsid w:val="00BE0341"/>
    <w:rsid w:val="00BE1406"/>
    <w:rsid w:val="00BE2300"/>
    <w:rsid w:val="00BE4E2D"/>
    <w:rsid w:val="00BE5ADD"/>
    <w:rsid w:val="00BE75BE"/>
    <w:rsid w:val="00BE7BB0"/>
    <w:rsid w:val="00BF08B1"/>
    <w:rsid w:val="00BF2D25"/>
    <w:rsid w:val="00BF5CBF"/>
    <w:rsid w:val="00BF6692"/>
    <w:rsid w:val="00C0228D"/>
    <w:rsid w:val="00C0257E"/>
    <w:rsid w:val="00C0335E"/>
    <w:rsid w:val="00C046F5"/>
    <w:rsid w:val="00C04EB5"/>
    <w:rsid w:val="00C05531"/>
    <w:rsid w:val="00C05D27"/>
    <w:rsid w:val="00C06879"/>
    <w:rsid w:val="00C07935"/>
    <w:rsid w:val="00C11AE9"/>
    <w:rsid w:val="00C11DEE"/>
    <w:rsid w:val="00C120FF"/>
    <w:rsid w:val="00C14418"/>
    <w:rsid w:val="00C2101F"/>
    <w:rsid w:val="00C21119"/>
    <w:rsid w:val="00C21E17"/>
    <w:rsid w:val="00C22B01"/>
    <w:rsid w:val="00C250E0"/>
    <w:rsid w:val="00C30766"/>
    <w:rsid w:val="00C30D3D"/>
    <w:rsid w:val="00C332FD"/>
    <w:rsid w:val="00C3470C"/>
    <w:rsid w:val="00C34A0F"/>
    <w:rsid w:val="00C34BCC"/>
    <w:rsid w:val="00C352C9"/>
    <w:rsid w:val="00C357FD"/>
    <w:rsid w:val="00C40BD7"/>
    <w:rsid w:val="00C4175D"/>
    <w:rsid w:val="00C41BEC"/>
    <w:rsid w:val="00C42808"/>
    <w:rsid w:val="00C43456"/>
    <w:rsid w:val="00C44B58"/>
    <w:rsid w:val="00C470CE"/>
    <w:rsid w:val="00C51E97"/>
    <w:rsid w:val="00C55195"/>
    <w:rsid w:val="00C570E3"/>
    <w:rsid w:val="00C57275"/>
    <w:rsid w:val="00C57393"/>
    <w:rsid w:val="00C5757E"/>
    <w:rsid w:val="00C621A2"/>
    <w:rsid w:val="00C639C3"/>
    <w:rsid w:val="00C6653C"/>
    <w:rsid w:val="00C66CD8"/>
    <w:rsid w:val="00C70D99"/>
    <w:rsid w:val="00C74E84"/>
    <w:rsid w:val="00C7678D"/>
    <w:rsid w:val="00C80287"/>
    <w:rsid w:val="00C825EC"/>
    <w:rsid w:val="00C83362"/>
    <w:rsid w:val="00C87261"/>
    <w:rsid w:val="00C8755B"/>
    <w:rsid w:val="00C87F3D"/>
    <w:rsid w:val="00C90085"/>
    <w:rsid w:val="00C907B6"/>
    <w:rsid w:val="00C931B1"/>
    <w:rsid w:val="00C9436D"/>
    <w:rsid w:val="00CA1570"/>
    <w:rsid w:val="00CA1E54"/>
    <w:rsid w:val="00CA34D5"/>
    <w:rsid w:val="00CA6F20"/>
    <w:rsid w:val="00CB3A1D"/>
    <w:rsid w:val="00CB52B7"/>
    <w:rsid w:val="00CB53A3"/>
    <w:rsid w:val="00CB611A"/>
    <w:rsid w:val="00CB79C4"/>
    <w:rsid w:val="00CC4531"/>
    <w:rsid w:val="00CC4C59"/>
    <w:rsid w:val="00CC5D2E"/>
    <w:rsid w:val="00CC63E2"/>
    <w:rsid w:val="00CC6458"/>
    <w:rsid w:val="00CC6E8C"/>
    <w:rsid w:val="00CC773F"/>
    <w:rsid w:val="00CD038D"/>
    <w:rsid w:val="00CD0BD5"/>
    <w:rsid w:val="00CD1B49"/>
    <w:rsid w:val="00CD3A83"/>
    <w:rsid w:val="00CD587B"/>
    <w:rsid w:val="00CD6392"/>
    <w:rsid w:val="00CD69F1"/>
    <w:rsid w:val="00CD7812"/>
    <w:rsid w:val="00CE3083"/>
    <w:rsid w:val="00CE35D8"/>
    <w:rsid w:val="00CE54F3"/>
    <w:rsid w:val="00CE6387"/>
    <w:rsid w:val="00CF057A"/>
    <w:rsid w:val="00CF6E70"/>
    <w:rsid w:val="00D02A98"/>
    <w:rsid w:val="00D038B1"/>
    <w:rsid w:val="00D069B6"/>
    <w:rsid w:val="00D072D6"/>
    <w:rsid w:val="00D12491"/>
    <w:rsid w:val="00D12780"/>
    <w:rsid w:val="00D14B12"/>
    <w:rsid w:val="00D14B20"/>
    <w:rsid w:val="00D157C7"/>
    <w:rsid w:val="00D16893"/>
    <w:rsid w:val="00D17930"/>
    <w:rsid w:val="00D213D7"/>
    <w:rsid w:val="00D224DF"/>
    <w:rsid w:val="00D22526"/>
    <w:rsid w:val="00D22DF2"/>
    <w:rsid w:val="00D22E37"/>
    <w:rsid w:val="00D232AC"/>
    <w:rsid w:val="00D268FC"/>
    <w:rsid w:val="00D27A29"/>
    <w:rsid w:val="00D304F4"/>
    <w:rsid w:val="00D30D5B"/>
    <w:rsid w:val="00D3288B"/>
    <w:rsid w:val="00D36B6B"/>
    <w:rsid w:val="00D3728F"/>
    <w:rsid w:val="00D37F5E"/>
    <w:rsid w:val="00D40AF8"/>
    <w:rsid w:val="00D45D4F"/>
    <w:rsid w:val="00D4744B"/>
    <w:rsid w:val="00D521C5"/>
    <w:rsid w:val="00D52492"/>
    <w:rsid w:val="00D54417"/>
    <w:rsid w:val="00D551A6"/>
    <w:rsid w:val="00D55B54"/>
    <w:rsid w:val="00D55C80"/>
    <w:rsid w:val="00D55DF1"/>
    <w:rsid w:val="00D562DB"/>
    <w:rsid w:val="00D57329"/>
    <w:rsid w:val="00D6649E"/>
    <w:rsid w:val="00D66D60"/>
    <w:rsid w:val="00D676CB"/>
    <w:rsid w:val="00D7196C"/>
    <w:rsid w:val="00D72C62"/>
    <w:rsid w:val="00D74541"/>
    <w:rsid w:val="00D74E14"/>
    <w:rsid w:val="00D7505A"/>
    <w:rsid w:val="00D779BC"/>
    <w:rsid w:val="00D800FC"/>
    <w:rsid w:val="00D80588"/>
    <w:rsid w:val="00D82434"/>
    <w:rsid w:val="00D85FF6"/>
    <w:rsid w:val="00D9111F"/>
    <w:rsid w:val="00D947E5"/>
    <w:rsid w:val="00D94EA3"/>
    <w:rsid w:val="00D959E9"/>
    <w:rsid w:val="00DA42A4"/>
    <w:rsid w:val="00DA65A2"/>
    <w:rsid w:val="00DA723B"/>
    <w:rsid w:val="00DB3219"/>
    <w:rsid w:val="00DB42BA"/>
    <w:rsid w:val="00DB45B9"/>
    <w:rsid w:val="00DB584F"/>
    <w:rsid w:val="00DB64CE"/>
    <w:rsid w:val="00DB7276"/>
    <w:rsid w:val="00DB7748"/>
    <w:rsid w:val="00DC4042"/>
    <w:rsid w:val="00DC692A"/>
    <w:rsid w:val="00DC749F"/>
    <w:rsid w:val="00DD304F"/>
    <w:rsid w:val="00DD3D77"/>
    <w:rsid w:val="00DD4311"/>
    <w:rsid w:val="00DD6FE0"/>
    <w:rsid w:val="00DE07DE"/>
    <w:rsid w:val="00DE3A81"/>
    <w:rsid w:val="00DE5EBF"/>
    <w:rsid w:val="00DE6A8C"/>
    <w:rsid w:val="00DE6FC1"/>
    <w:rsid w:val="00DF028A"/>
    <w:rsid w:val="00DF46A1"/>
    <w:rsid w:val="00DF4C64"/>
    <w:rsid w:val="00DF4E8D"/>
    <w:rsid w:val="00E01185"/>
    <w:rsid w:val="00E01A3A"/>
    <w:rsid w:val="00E0516F"/>
    <w:rsid w:val="00E06126"/>
    <w:rsid w:val="00E06809"/>
    <w:rsid w:val="00E07AFB"/>
    <w:rsid w:val="00E10212"/>
    <w:rsid w:val="00E11788"/>
    <w:rsid w:val="00E11C64"/>
    <w:rsid w:val="00E11C9D"/>
    <w:rsid w:val="00E12068"/>
    <w:rsid w:val="00E133E5"/>
    <w:rsid w:val="00E134D8"/>
    <w:rsid w:val="00E13CEC"/>
    <w:rsid w:val="00E152AB"/>
    <w:rsid w:val="00E15743"/>
    <w:rsid w:val="00E16459"/>
    <w:rsid w:val="00E17D6F"/>
    <w:rsid w:val="00E22BB0"/>
    <w:rsid w:val="00E24F17"/>
    <w:rsid w:val="00E25D79"/>
    <w:rsid w:val="00E2712C"/>
    <w:rsid w:val="00E27238"/>
    <w:rsid w:val="00E27D61"/>
    <w:rsid w:val="00E36F44"/>
    <w:rsid w:val="00E4046F"/>
    <w:rsid w:val="00E41930"/>
    <w:rsid w:val="00E42131"/>
    <w:rsid w:val="00E427CF"/>
    <w:rsid w:val="00E430B1"/>
    <w:rsid w:val="00E43129"/>
    <w:rsid w:val="00E44EBA"/>
    <w:rsid w:val="00E54F22"/>
    <w:rsid w:val="00E55205"/>
    <w:rsid w:val="00E57100"/>
    <w:rsid w:val="00E573F3"/>
    <w:rsid w:val="00E600CA"/>
    <w:rsid w:val="00E62CD6"/>
    <w:rsid w:val="00E62F20"/>
    <w:rsid w:val="00E63889"/>
    <w:rsid w:val="00E641E6"/>
    <w:rsid w:val="00E65CE5"/>
    <w:rsid w:val="00E67399"/>
    <w:rsid w:val="00E67D08"/>
    <w:rsid w:val="00E70CBA"/>
    <w:rsid w:val="00E7203E"/>
    <w:rsid w:val="00E73F7F"/>
    <w:rsid w:val="00E80289"/>
    <w:rsid w:val="00E81E66"/>
    <w:rsid w:val="00E8526B"/>
    <w:rsid w:val="00E909F8"/>
    <w:rsid w:val="00E920A4"/>
    <w:rsid w:val="00E938C4"/>
    <w:rsid w:val="00E97232"/>
    <w:rsid w:val="00E975B6"/>
    <w:rsid w:val="00EA1046"/>
    <w:rsid w:val="00EA1637"/>
    <w:rsid w:val="00EA3BEC"/>
    <w:rsid w:val="00EA46A2"/>
    <w:rsid w:val="00EA495D"/>
    <w:rsid w:val="00EA6521"/>
    <w:rsid w:val="00EB0A87"/>
    <w:rsid w:val="00EB0EEC"/>
    <w:rsid w:val="00EB1AD3"/>
    <w:rsid w:val="00EB1D0B"/>
    <w:rsid w:val="00EB279B"/>
    <w:rsid w:val="00EB3BA7"/>
    <w:rsid w:val="00EB3D51"/>
    <w:rsid w:val="00EB4E23"/>
    <w:rsid w:val="00EB4F6B"/>
    <w:rsid w:val="00EB5401"/>
    <w:rsid w:val="00EB7BAE"/>
    <w:rsid w:val="00EC1626"/>
    <w:rsid w:val="00EC1927"/>
    <w:rsid w:val="00EC55DF"/>
    <w:rsid w:val="00EC76B5"/>
    <w:rsid w:val="00EC7985"/>
    <w:rsid w:val="00ED0483"/>
    <w:rsid w:val="00ED07A3"/>
    <w:rsid w:val="00ED1262"/>
    <w:rsid w:val="00ED2F3F"/>
    <w:rsid w:val="00ED7433"/>
    <w:rsid w:val="00EE3D72"/>
    <w:rsid w:val="00EF021B"/>
    <w:rsid w:val="00EF0628"/>
    <w:rsid w:val="00EF5480"/>
    <w:rsid w:val="00EF6FAE"/>
    <w:rsid w:val="00F007D2"/>
    <w:rsid w:val="00F01CE0"/>
    <w:rsid w:val="00F105A9"/>
    <w:rsid w:val="00F1390F"/>
    <w:rsid w:val="00F160BD"/>
    <w:rsid w:val="00F17606"/>
    <w:rsid w:val="00F201A6"/>
    <w:rsid w:val="00F20E6E"/>
    <w:rsid w:val="00F21934"/>
    <w:rsid w:val="00F23485"/>
    <w:rsid w:val="00F2423A"/>
    <w:rsid w:val="00F24520"/>
    <w:rsid w:val="00F256CD"/>
    <w:rsid w:val="00F26D32"/>
    <w:rsid w:val="00F26DA0"/>
    <w:rsid w:val="00F306B3"/>
    <w:rsid w:val="00F33F1B"/>
    <w:rsid w:val="00F34FC0"/>
    <w:rsid w:val="00F357A2"/>
    <w:rsid w:val="00F35FB7"/>
    <w:rsid w:val="00F435A3"/>
    <w:rsid w:val="00F46BD0"/>
    <w:rsid w:val="00F502EF"/>
    <w:rsid w:val="00F51303"/>
    <w:rsid w:val="00F54A5E"/>
    <w:rsid w:val="00F57D6C"/>
    <w:rsid w:val="00F57E2C"/>
    <w:rsid w:val="00F62286"/>
    <w:rsid w:val="00F62D2A"/>
    <w:rsid w:val="00F63356"/>
    <w:rsid w:val="00F636FD"/>
    <w:rsid w:val="00F639D5"/>
    <w:rsid w:val="00F63D2F"/>
    <w:rsid w:val="00F64082"/>
    <w:rsid w:val="00F64F86"/>
    <w:rsid w:val="00F65102"/>
    <w:rsid w:val="00F700AB"/>
    <w:rsid w:val="00F73462"/>
    <w:rsid w:val="00F74C0E"/>
    <w:rsid w:val="00F76E3E"/>
    <w:rsid w:val="00F77DB2"/>
    <w:rsid w:val="00F97819"/>
    <w:rsid w:val="00FA0C74"/>
    <w:rsid w:val="00FA2B48"/>
    <w:rsid w:val="00FA3E8D"/>
    <w:rsid w:val="00FA4EBD"/>
    <w:rsid w:val="00FA4EE7"/>
    <w:rsid w:val="00FA501F"/>
    <w:rsid w:val="00FA51A1"/>
    <w:rsid w:val="00FA6BC9"/>
    <w:rsid w:val="00FB0127"/>
    <w:rsid w:val="00FB17D3"/>
    <w:rsid w:val="00FB30A5"/>
    <w:rsid w:val="00FB3324"/>
    <w:rsid w:val="00FB41F6"/>
    <w:rsid w:val="00FB492E"/>
    <w:rsid w:val="00FB6BB5"/>
    <w:rsid w:val="00FC09D1"/>
    <w:rsid w:val="00FC2E27"/>
    <w:rsid w:val="00FC30B6"/>
    <w:rsid w:val="00FC37E9"/>
    <w:rsid w:val="00FD0638"/>
    <w:rsid w:val="00FD428A"/>
    <w:rsid w:val="00FE1953"/>
    <w:rsid w:val="00FE2C37"/>
    <w:rsid w:val="00FE2C94"/>
    <w:rsid w:val="00FE2F45"/>
    <w:rsid w:val="00FE33A7"/>
    <w:rsid w:val="00FE4CAF"/>
    <w:rsid w:val="00FE5E6D"/>
    <w:rsid w:val="00FE64DC"/>
    <w:rsid w:val="00FE6E60"/>
    <w:rsid w:val="00FF033E"/>
    <w:rsid w:val="00FF0861"/>
    <w:rsid w:val="00FF093F"/>
    <w:rsid w:val="00FF0D81"/>
    <w:rsid w:val="00FF1F4C"/>
    <w:rsid w:val="00FF2238"/>
    <w:rsid w:val="00FF4558"/>
    <w:rsid w:val="00FF55F1"/>
    <w:rsid w:val="00FF57B8"/>
    <w:rsid w:val="00FF590D"/>
    <w:rsid w:val="00FF76D4"/>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57DA8"/>
  <w15:docId w15:val="{BE208D16-EDF8-4FD9-AAA1-5066EA7A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4CE"/>
  </w:style>
  <w:style w:type="paragraph" w:styleId="Heading2">
    <w:name w:val="heading 2"/>
    <w:basedOn w:val="Normal"/>
    <w:next w:val="Normal"/>
    <w:link w:val="Heading2Char"/>
    <w:uiPriority w:val="9"/>
    <w:unhideWhenUsed/>
    <w:qFormat/>
    <w:rsid w:val="00D232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88F"/>
    <w:pPr>
      <w:ind w:left="720"/>
      <w:contextualSpacing/>
    </w:pPr>
  </w:style>
  <w:style w:type="character" w:styleId="Hyperlink">
    <w:name w:val="Hyperlink"/>
    <w:basedOn w:val="DefaultParagraphFont"/>
    <w:uiPriority w:val="99"/>
    <w:unhideWhenUsed/>
    <w:rsid w:val="001A0B0C"/>
    <w:rPr>
      <w:color w:val="0563C1" w:themeColor="hyperlink"/>
      <w:u w:val="single"/>
    </w:rPr>
  </w:style>
  <w:style w:type="character" w:styleId="UnresolvedMention">
    <w:name w:val="Unresolved Mention"/>
    <w:basedOn w:val="DefaultParagraphFont"/>
    <w:uiPriority w:val="99"/>
    <w:semiHidden/>
    <w:unhideWhenUsed/>
    <w:rsid w:val="001A0B0C"/>
    <w:rPr>
      <w:color w:val="605E5C"/>
      <w:shd w:val="clear" w:color="auto" w:fill="E1DFDD"/>
    </w:rPr>
  </w:style>
  <w:style w:type="character" w:styleId="FollowedHyperlink">
    <w:name w:val="FollowedHyperlink"/>
    <w:basedOn w:val="DefaultParagraphFont"/>
    <w:uiPriority w:val="99"/>
    <w:semiHidden/>
    <w:unhideWhenUsed/>
    <w:rsid w:val="00C57275"/>
    <w:rPr>
      <w:color w:val="954F72" w:themeColor="followedHyperlink"/>
      <w:u w:val="single"/>
    </w:rPr>
  </w:style>
  <w:style w:type="paragraph" w:styleId="Header">
    <w:name w:val="header"/>
    <w:basedOn w:val="Normal"/>
    <w:link w:val="HeaderChar"/>
    <w:uiPriority w:val="99"/>
    <w:unhideWhenUsed/>
    <w:rsid w:val="00AB7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6E8"/>
  </w:style>
  <w:style w:type="paragraph" w:styleId="Footer">
    <w:name w:val="footer"/>
    <w:basedOn w:val="Normal"/>
    <w:link w:val="FooterChar"/>
    <w:uiPriority w:val="99"/>
    <w:unhideWhenUsed/>
    <w:rsid w:val="00AB7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6E8"/>
  </w:style>
  <w:style w:type="paragraph" w:styleId="NormalWeb">
    <w:name w:val="Normal (Web)"/>
    <w:basedOn w:val="Normal"/>
    <w:uiPriority w:val="99"/>
    <w:unhideWhenUsed/>
    <w:rsid w:val="004C06C9"/>
    <w:rPr>
      <w:rFonts w:ascii="Times New Roman" w:hAnsi="Times New Roman" w:cs="Times New Roman"/>
      <w:sz w:val="24"/>
      <w:szCs w:val="24"/>
    </w:rPr>
  </w:style>
  <w:style w:type="character" w:styleId="Strong">
    <w:name w:val="Strong"/>
    <w:basedOn w:val="DefaultParagraphFont"/>
    <w:uiPriority w:val="22"/>
    <w:qFormat/>
    <w:rsid w:val="00375F87"/>
    <w:rPr>
      <w:b/>
      <w:bCs/>
    </w:rPr>
  </w:style>
  <w:style w:type="paragraph" w:styleId="NoSpacing">
    <w:name w:val="No Spacing"/>
    <w:uiPriority w:val="1"/>
    <w:qFormat/>
    <w:rsid w:val="00E73F7F"/>
    <w:pPr>
      <w:spacing w:after="0" w:line="240" w:lineRule="auto"/>
    </w:pPr>
  </w:style>
  <w:style w:type="paragraph" w:styleId="Revision">
    <w:name w:val="Revision"/>
    <w:hidden/>
    <w:uiPriority w:val="99"/>
    <w:semiHidden/>
    <w:rsid w:val="000B72EF"/>
    <w:pPr>
      <w:spacing w:after="0" w:line="240" w:lineRule="auto"/>
    </w:pPr>
  </w:style>
  <w:style w:type="paragraph" w:customStyle="1" w:styleId="regdown-block">
    <w:name w:val="regdown-block"/>
    <w:basedOn w:val="Normal"/>
    <w:rsid w:val="00825B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5B69"/>
    <w:rPr>
      <w:i/>
      <w:iCs/>
    </w:rPr>
  </w:style>
  <w:style w:type="character" w:customStyle="1" w:styleId="Heading2Char">
    <w:name w:val="Heading 2 Char"/>
    <w:basedOn w:val="DefaultParagraphFont"/>
    <w:link w:val="Heading2"/>
    <w:uiPriority w:val="9"/>
    <w:rsid w:val="00D232AC"/>
    <w:rPr>
      <w:rFonts w:asciiTheme="majorHAnsi" w:eastAsiaTheme="majorEastAsia" w:hAnsiTheme="majorHAnsi" w:cstheme="majorBidi"/>
      <w:color w:val="2F5496" w:themeColor="accent1" w:themeShade="BF"/>
      <w:sz w:val="26"/>
      <w:szCs w:val="26"/>
    </w:rPr>
  </w:style>
  <w:style w:type="paragraph" w:customStyle="1" w:styleId="Default">
    <w:name w:val="Default"/>
    <w:rsid w:val="00D232AC"/>
    <w:pPr>
      <w:autoSpaceDE w:val="0"/>
      <w:autoSpaceDN w:val="0"/>
      <w:adjustRightInd w:val="0"/>
      <w:spacing w:after="0" w:line="240" w:lineRule="auto"/>
    </w:pPr>
    <w:rPr>
      <w:rFonts w:ascii="Source Sans Pro SemiBold" w:hAnsi="Source Sans Pro SemiBold" w:cs="Source Sans Pro Semi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2607">
      <w:bodyDiv w:val="1"/>
      <w:marLeft w:val="0"/>
      <w:marRight w:val="0"/>
      <w:marTop w:val="0"/>
      <w:marBottom w:val="0"/>
      <w:divBdr>
        <w:top w:val="none" w:sz="0" w:space="0" w:color="auto"/>
        <w:left w:val="none" w:sz="0" w:space="0" w:color="auto"/>
        <w:bottom w:val="none" w:sz="0" w:space="0" w:color="auto"/>
        <w:right w:val="none" w:sz="0" w:space="0" w:color="auto"/>
      </w:divBdr>
    </w:div>
    <w:div w:id="60493494">
      <w:bodyDiv w:val="1"/>
      <w:marLeft w:val="0"/>
      <w:marRight w:val="0"/>
      <w:marTop w:val="0"/>
      <w:marBottom w:val="0"/>
      <w:divBdr>
        <w:top w:val="none" w:sz="0" w:space="0" w:color="auto"/>
        <w:left w:val="none" w:sz="0" w:space="0" w:color="auto"/>
        <w:bottom w:val="none" w:sz="0" w:space="0" w:color="auto"/>
        <w:right w:val="none" w:sz="0" w:space="0" w:color="auto"/>
      </w:divBdr>
    </w:div>
    <w:div w:id="169831045">
      <w:bodyDiv w:val="1"/>
      <w:marLeft w:val="0"/>
      <w:marRight w:val="0"/>
      <w:marTop w:val="0"/>
      <w:marBottom w:val="0"/>
      <w:divBdr>
        <w:top w:val="none" w:sz="0" w:space="0" w:color="auto"/>
        <w:left w:val="none" w:sz="0" w:space="0" w:color="auto"/>
        <w:bottom w:val="none" w:sz="0" w:space="0" w:color="auto"/>
        <w:right w:val="none" w:sz="0" w:space="0" w:color="auto"/>
      </w:divBdr>
      <w:divsChild>
        <w:div w:id="1667005739">
          <w:marLeft w:val="0"/>
          <w:marRight w:val="0"/>
          <w:marTop w:val="0"/>
          <w:marBottom w:val="0"/>
          <w:divBdr>
            <w:top w:val="none" w:sz="0" w:space="0" w:color="auto"/>
            <w:left w:val="none" w:sz="0" w:space="0" w:color="auto"/>
            <w:bottom w:val="none" w:sz="0" w:space="0" w:color="auto"/>
            <w:right w:val="none" w:sz="0" w:space="0" w:color="auto"/>
          </w:divBdr>
        </w:div>
        <w:div w:id="139810425">
          <w:marLeft w:val="0"/>
          <w:marRight w:val="0"/>
          <w:marTop w:val="0"/>
          <w:marBottom w:val="0"/>
          <w:divBdr>
            <w:top w:val="none" w:sz="0" w:space="0" w:color="auto"/>
            <w:left w:val="none" w:sz="0" w:space="0" w:color="auto"/>
            <w:bottom w:val="none" w:sz="0" w:space="0" w:color="auto"/>
            <w:right w:val="none" w:sz="0" w:space="0" w:color="auto"/>
          </w:divBdr>
        </w:div>
      </w:divsChild>
    </w:div>
    <w:div w:id="176700477">
      <w:bodyDiv w:val="1"/>
      <w:marLeft w:val="0"/>
      <w:marRight w:val="0"/>
      <w:marTop w:val="0"/>
      <w:marBottom w:val="0"/>
      <w:divBdr>
        <w:top w:val="none" w:sz="0" w:space="0" w:color="auto"/>
        <w:left w:val="none" w:sz="0" w:space="0" w:color="auto"/>
        <w:bottom w:val="none" w:sz="0" w:space="0" w:color="auto"/>
        <w:right w:val="none" w:sz="0" w:space="0" w:color="auto"/>
      </w:divBdr>
    </w:div>
    <w:div w:id="182863302">
      <w:bodyDiv w:val="1"/>
      <w:marLeft w:val="0"/>
      <w:marRight w:val="0"/>
      <w:marTop w:val="0"/>
      <w:marBottom w:val="0"/>
      <w:divBdr>
        <w:top w:val="none" w:sz="0" w:space="0" w:color="auto"/>
        <w:left w:val="none" w:sz="0" w:space="0" w:color="auto"/>
        <w:bottom w:val="none" w:sz="0" w:space="0" w:color="auto"/>
        <w:right w:val="none" w:sz="0" w:space="0" w:color="auto"/>
      </w:divBdr>
    </w:div>
    <w:div w:id="216864169">
      <w:bodyDiv w:val="1"/>
      <w:marLeft w:val="0"/>
      <w:marRight w:val="0"/>
      <w:marTop w:val="0"/>
      <w:marBottom w:val="0"/>
      <w:divBdr>
        <w:top w:val="none" w:sz="0" w:space="0" w:color="auto"/>
        <w:left w:val="none" w:sz="0" w:space="0" w:color="auto"/>
        <w:bottom w:val="none" w:sz="0" w:space="0" w:color="auto"/>
        <w:right w:val="none" w:sz="0" w:space="0" w:color="auto"/>
      </w:divBdr>
    </w:div>
    <w:div w:id="228806203">
      <w:bodyDiv w:val="1"/>
      <w:marLeft w:val="0"/>
      <w:marRight w:val="0"/>
      <w:marTop w:val="0"/>
      <w:marBottom w:val="0"/>
      <w:divBdr>
        <w:top w:val="none" w:sz="0" w:space="0" w:color="auto"/>
        <w:left w:val="none" w:sz="0" w:space="0" w:color="auto"/>
        <w:bottom w:val="none" w:sz="0" w:space="0" w:color="auto"/>
        <w:right w:val="none" w:sz="0" w:space="0" w:color="auto"/>
      </w:divBdr>
    </w:div>
    <w:div w:id="232157117">
      <w:bodyDiv w:val="1"/>
      <w:marLeft w:val="0"/>
      <w:marRight w:val="0"/>
      <w:marTop w:val="0"/>
      <w:marBottom w:val="0"/>
      <w:divBdr>
        <w:top w:val="none" w:sz="0" w:space="0" w:color="auto"/>
        <w:left w:val="none" w:sz="0" w:space="0" w:color="auto"/>
        <w:bottom w:val="none" w:sz="0" w:space="0" w:color="auto"/>
        <w:right w:val="none" w:sz="0" w:space="0" w:color="auto"/>
      </w:divBdr>
    </w:div>
    <w:div w:id="267391136">
      <w:bodyDiv w:val="1"/>
      <w:marLeft w:val="0"/>
      <w:marRight w:val="0"/>
      <w:marTop w:val="0"/>
      <w:marBottom w:val="0"/>
      <w:divBdr>
        <w:top w:val="none" w:sz="0" w:space="0" w:color="auto"/>
        <w:left w:val="none" w:sz="0" w:space="0" w:color="auto"/>
        <w:bottom w:val="none" w:sz="0" w:space="0" w:color="auto"/>
        <w:right w:val="none" w:sz="0" w:space="0" w:color="auto"/>
      </w:divBdr>
    </w:div>
    <w:div w:id="299263955">
      <w:bodyDiv w:val="1"/>
      <w:marLeft w:val="0"/>
      <w:marRight w:val="0"/>
      <w:marTop w:val="0"/>
      <w:marBottom w:val="0"/>
      <w:divBdr>
        <w:top w:val="none" w:sz="0" w:space="0" w:color="auto"/>
        <w:left w:val="none" w:sz="0" w:space="0" w:color="auto"/>
        <w:bottom w:val="none" w:sz="0" w:space="0" w:color="auto"/>
        <w:right w:val="none" w:sz="0" w:space="0" w:color="auto"/>
      </w:divBdr>
    </w:div>
    <w:div w:id="332488491">
      <w:bodyDiv w:val="1"/>
      <w:marLeft w:val="0"/>
      <w:marRight w:val="0"/>
      <w:marTop w:val="0"/>
      <w:marBottom w:val="0"/>
      <w:divBdr>
        <w:top w:val="none" w:sz="0" w:space="0" w:color="auto"/>
        <w:left w:val="none" w:sz="0" w:space="0" w:color="auto"/>
        <w:bottom w:val="none" w:sz="0" w:space="0" w:color="auto"/>
        <w:right w:val="none" w:sz="0" w:space="0" w:color="auto"/>
      </w:divBdr>
    </w:div>
    <w:div w:id="342171248">
      <w:bodyDiv w:val="1"/>
      <w:marLeft w:val="0"/>
      <w:marRight w:val="0"/>
      <w:marTop w:val="0"/>
      <w:marBottom w:val="0"/>
      <w:divBdr>
        <w:top w:val="none" w:sz="0" w:space="0" w:color="auto"/>
        <w:left w:val="none" w:sz="0" w:space="0" w:color="auto"/>
        <w:bottom w:val="none" w:sz="0" w:space="0" w:color="auto"/>
        <w:right w:val="none" w:sz="0" w:space="0" w:color="auto"/>
      </w:divBdr>
    </w:div>
    <w:div w:id="383679389">
      <w:bodyDiv w:val="1"/>
      <w:marLeft w:val="0"/>
      <w:marRight w:val="0"/>
      <w:marTop w:val="0"/>
      <w:marBottom w:val="0"/>
      <w:divBdr>
        <w:top w:val="none" w:sz="0" w:space="0" w:color="auto"/>
        <w:left w:val="none" w:sz="0" w:space="0" w:color="auto"/>
        <w:bottom w:val="none" w:sz="0" w:space="0" w:color="auto"/>
        <w:right w:val="none" w:sz="0" w:space="0" w:color="auto"/>
      </w:divBdr>
    </w:div>
    <w:div w:id="401804763">
      <w:bodyDiv w:val="1"/>
      <w:marLeft w:val="0"/>
      <w:marRight w:val="0"/>
      <w:marTop w:val="0"/>
      <w:marBottom w:val="0"/>
      <w:divBdr>
        <w:top w:val="none" w:sz="0" w:space="0" w:color="auto"/>
        <w:left w:val="none" w:sz="0" w:space="0" w:color="auto"/>
        <w:bottom w:val="none" w:sz="0" w:space="0" w:color="auto"/>
        <w:right w:val="none" w:sz="0" w:space="0" w:color="auto"/>
      </w:divBdr>
    </w:div>
    <w:div w:id="476579159">
      <w:bodyDiv w:val="1"/>
      <w:marLeft w:val="0"/>
      <w:marRight w:val="0"/>
      <w:marTop w:val="0"/>
      <w:marBottom w:val="0"/>
      <w:divBdr>
        <w:top w:val="none" w:sz="0" w:space="0" w:color="auto"/>
        <w:left w:val="none" w:sz="0" w:space="0" w:color="auto"/>
        <w:bottom w:val="none" w:sz="0" w:space="0" w:color="auto"/>
        <w:right w:val="none" w:sz="0" w:space="0" w:color="auto"/>
      </w:divBdr>
    </w:div>
    <w:div w:id="501895826">
      <w:bodyDiv w:val="1"/>
      <w:marLeft w:val="0"/>
      <w:marRight w:val="0"/>
      <w:marTop w:val="0"/>
      <w:marBottom w:val="0"/>
      <w:divBdr>
        <w:top w:val="none" w:sz="0" w:space="0" w:color="auto"/>
        <w:left w:val="none" w:sz="0" w:space="0" w:color="auto"/>
        <w:bottom w:val="none" w:sz="0" w:space="0" w:color="auto"/>
        <w:right w:val="none" w:sz="0" w:space="0" w:color="auto"/>
      </w:divBdr>
    </w:div>
    <w:div w:id="540478499">
      <w:bodyDiv w:val="1"/>
      <w:marLeft w:val="0"/>
      <w:marRight w:val="0"/>
      <w:marTop w:val="0"/>
      <w:marBottom w:val="0"/>
      <w:divBdr>
        <w:top w:val="none" w:sz="0" w:space="0" w:color="auto"/>
        <w:left w:val="none" w:sz="0" w:space="0" w:color="auto"/>
        <w:bottom w:val="none" w:sz="0" w:space="0" w:color="auto"/>
        <w:right w:val="none" w:sz="0" w:space="0" w:color="auto"/>
      </w:divBdr>
    </w:div>
    <w:div w:id="587427039">
      <w:bodyDiv w:val="1"/>
      <w:marLeft w:val="0"/>
      <w:marRight w:val="0"/>
      <w:marTop w:val="0"/>
      <w:marBottom w:val="0"/>
      <w:divBdr>
        <w:top w:val="none" w:sz="0" w:space="0" w:color="auto"/>
        <w:left w:val="none" w:sz="0" w:space="0" w:color="auto"/>
        <w:bottom w:val="none" w:sz="0" w:space="0" w:color="auto"/>
        <w:right w:val="none" w:sz="0" w:space="0" w:color="auto"/>
      </w:divBdr>
    </w:div>
    <w:div w:id="601375935">
      <w:bodyDiv w:val="1"/>
      <w:marLeft w:val="0"/>
      <w:marRight w:val="0"/>
      <w:marTop w:val="0"/>
      <w:marBottom w:val="0"/>
      <w:divBdr>
        <w:top w:val="none" w:sz="0" w:space="0" w:color="auto"/>
        <w:left w:val="none" w:sz="0" w:space="0" w:color="auto"/>
        <w:bottom w:val="none" w:sz="0" w:space="0" w:color="auto"/>
        <w:right w:val="none" w:sz="0" w:space="0" w:color="auto"/>
      </w:divBdr>
    </w:div>
    <w:div w:id="626854476">
      <w:bodyDiv w:val="1"/>
      <w:marLeft w:val="0"/>
      <w:marRight w:val="0"/>
      <w:marTop w:val="0"/>
      <w:marBottom w:val="0"/>
      <w:divBdr>
        <w:top w:val="none" w:sz="0" w:space="0" w:color="auto"/>
        <w:left w:val="none" w:sz="0" w:space="0" w:color="auto"/>
        <w:bottom w:val="none" w:sz="0" w:space="0" w:color="auto"/>
        <w:right w:val="none" w:sz="0" w:space="0" w:color="auto"/>
      </w:divBdr>
    </w:div>
    <w:div w:id="642003822">
      <w:bodyDiv w:val="1"/>
      <w:marLeft w:val="0"/>
      <w:marRight w:val="0"/>
      <w:marTop w:val="0"/>
      <w:marBottom w:val="0"/>
      <w:divBdr>
        <w:top w:val="none" w:sz="0" w:space="0" w:color="auto"/>
        <w:left w:val="none" w:sz="0" w:space="0" w:color="auto"/>
        <w:bottom w:val="none" w:sz="0" w:space="0" w:color="auto"/>
        <w:right w:val="none" w:sz="0" w:space="0" w:color="auto"/>
      </w:divBdr>
    </w:div>
    <w:div w:id="722212344">
      <w:bodyDiv w:val="1"/>
      <w:marLeft w:val="0"/>
      <w:marRight w:val="0"/>
      <w:marTop w:val="0"/>
      <w:marBottom w:val="0"/>
      <w:divBdr>
        <w:top w:val="none" w:sz="0" w:space="0" w:color="auto"/>
        <w:left w:val="none" w:sz="0" w:space="0" w:color="auto"/>
        <w:bottom w:val="none" w:sz="0" w:space="0" w:color="auto"/>
        <w:right w:val="none" w:sz="0" w:space="0" w:color="auto"/>
      </w:divBdr>
      <w:divsChild>
        <w:div w:id="352655626">
          <w:marLeft w:val="0"/>
          <w:marRight w:val="0"/>
          <w:marTop w:val="240"/>
          <w:marBottom w:val="300"/>
          <w:divBdr>
            <w:top w:val="single" w:sz="6" w:space="0" w:color="CCCCCC"/>
            <w:left w:val="single" w:sz="6" w:space="0" w:color="CCCCCC"/>
            <w:bottom w:val="single" w:sz="6" w:space="0" w:color="CCCCCC"/>
            <w:right w:val="single" w:sz="6" w:space="0" w:color="CCCCCC"/>
          </w:divBdr>
          <w:divsChild>
            <w:div w:id="4460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569">
      <w:bodyDiv w:val="1"/>
      <w:marLeft w:val="0"/>
      <w:marRight w:val="0"/>
      <w:marTop w:val="0"/>
      <w:marBottom w:val="0"/>
      <w:divBdr>
        <w:top w:val="none" w:sz="0" w:space="0" w:color="auto"/>
        <w:left w:val="none" w:sz="0" w:space="0" w:color="auto"/>
        <w:bottom w:val="none" w:sz="0" w:space="0" w:color="auto"/>
        <w:right w:val="none" w:sz="0" w:space="0" w:color="auto"/>
      </w:divBdr>
    </w:div>
    <w:div w:id="823547159">
      <w:bodyDiv w:val="1"/>
      <w:marLeft w:val="0"/>
      <w:marRight w:val="0"/>
      <w:marTop w:val="0"/>
      <w:marBottom w:val="0"/>
      <w:divBdr>
        <w:top w:val="none" w:sz="0" w:space="0" w:color="auto"/>
        <w:left w:val="none" w:sz="0" w:space="0" w:color="auto"/>
        <w:bottom w:val="none" w:sz="0" w:space="0" w:color="auto"/>
        <w:right w:val="none" w:sz="0" w:space="0" w:color="auto"/>
      </w:divBdr>
    </w:div>
    <w:div w:id="824249384">
      <w:bodyDiv w:val="1"/>
      <w:marLeft w:val="0"/>
      <w:marRight w:val="0"/>
      <w:marTop w:val="0"/>
      <w:marBottom w:val="0"/>
      <w:divBdr>
        <w:top w:val="none" w:sz="0" w:space="0" w:color="auto"/>
        <w:left w:val="none" w:sz="0" w:space="0" w:color="auto"/>
        <w:bottom w:val="none" w:sz="0" w:space="0" w:color="auto"/>
        <w:right w:val="none" w:sz="0" w:space="0" w:color="auto"/>
      </w:divBdr>
    </w:div>
    <w:div w:id="870727856">
      <w:bodyDiv w:val="1"/>
      <w:marLeft w:val="0"/>
      <w:marRight w:val="0"/>
      <w:marTop w:val="0"/>
      <w:marBottom w:val="0"/>
      <w:divBdr>
        <w:top w:val="none" w:sz="0" w:space="0" w:color="auto"/>
        <w:left w:val="none" w:sz="0" w:space="0" w:color="auto"/>
        <w:bottom w:val="none" w:sz="0" w:space="0" w:color="auto"/>
        <w:right w:val="none" w:sz="0" w:space="0" w:color="auto"/>
      </w:divBdr>
    </w:div>
    <w:div w:id="902258839">
      <w:bodyDiv w:val="1"/>
      <w:marLeft w:val="0"/>
      <w:marRight w:val="0"/>
      <w:marTop w:val="0"/>
      <w:marBottom w:val="0"/>
      <w:divBdr>
        <w:top w:val="none" w:sz="0" w:space="0" w:color="auto"/>
        <w:left w:val="none" w:sz="0" w:space="0" w:color="auto"/>
        <w:bottom w:val="none" w:sz="0" w:space="0" w:color="auto"/>
        <w:right w:val="none" w:sz="0" w:space="0" w:color="auto"/>
      </w:divBdr>
    </w:div>
    <w:div w:id="998074348">
      <w:bodyDiv w:val="1"/>
      <w:marLeft w:val="0"/>
      <w:marRight w:val="0"/>
      <w:marTop w:val="0"/>
      <w:marBottom w:val="0"/>
      <w:divBdr>
        <w:top w:val="none" w:sz="0" w:space="0" w:color="auto"/>
        <w:left w:val="none" w:sz="0" w:space="0" w:color="auto"/>
        <w:bottom w:val="none" w:sz="0" w:space="0" w:color="auto"/>
        <w:right w:val="none" w:sz="0" w:space="0" w:color="auto"/>
      </w:divBdr>
    </w:div>
    <w:div w:id="1019089665">
      <w:bodyDiv w:val="1"/>
      <w:marLeft w:val="0"/>
      <w:marRight w:val="0"/>
      <w:marTop w:val="0"/>
      <w:marBottom w:val="0"/>
      <w:divBdr>
        <w:top w:val="none" w:sz="0" w:space="0" w:color="auto"/>
        <w:left w:val="none" w:sz="0" w:space="0" w:color="auto"/>
        <w:bottom w:val="none" w:sz="0" w:space="0" w:color="auto"/>
        <w:right w:val="none" w:sz="0" w:space="0" w:color="auto"/>
      </w:divBdr>
    </w:div>
    <w:div w:id="1061905807">
      <w:bodyDiv w:val="1"/>
      <w:marLeft w:val="0"/>
      <w:marRight w:val="0"/>
      <w:marTop w:val="0"/>
      <w:marBottom w:val="0"/>
      <w:divBdr>
        <w:top w:val="none" w:sz="0" w:space="0" w:color="auto"/>
        <w:left w:val="none" w:sz="0" w:space="0" w:color="auto"/>
        <w:bottom w:val="none" w:sz="0" w:space="0" w:color="auto"/>
        <w:right w:val="none" w:sz="0" w:space="0" w:color="auto"/>
      </w:divBdr>
    </w:div>
    <w:div w:id="1089079205">
      <w:bodyDiv w:val="1"/>
      <w:marLeft w:val="0"/>
      <w:marRight w:val="0"/>
      <w:marTop w:val="0"/>
      <w:marBottom w:val="0"/>
      <w:divBdr>
        <w:top w:val="none" w:sz="0" w:space="0" w:color="auto"/>
        <w:left w:val="none" w:sz="0" w:space="0" w:color="auto"/>
        <w:bottom w:val="none" w:sz="0" w:space="0" w:color="auto"/>
        <w:right w:val="none" w:sz="0" w:space="0" w:color="auto"/>
      </w:divBdr>
      <w:divsChild>
        <w:div w:id="553934419">
          <w:marLeft w:val="0"/>
          <w:marRight w:val="0"/>
          <w:marTop w:val="240"/>
          <w:marBottom w:val="300"/>
          <w:divBdr>
            <w:top w:val="single" w:sz="6" w:space="0" w:color="CCCCCC"/>
            <w:left w:val="single" w:sz="6" w:space="0" w:color="CCCCCC"/>
            <w:bottom w:val="single" w:sz="6" w:space="0" w:color="CCCCCC"/>
            <w:right w:val="single" w:sz="6" w:space="0" w:color="CCCCCC"/>
          </w:divBdr>
          <w:divsChild>
            <w:div w:id="13861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0252">
      <w:bodyDiv w:val="1"/>
      <w:marLeft w:val="0"/>
      <w:marRight w:val="0"/>
      <w:marTop w:val="0"/>
      <w:marBottom w:val="0"/>
      <w:divBdr>
        <w:top w:val="none" w:sz="0" w:space="0" w:color="auto"/>
        <w:left w:val="none" w:sz="0" w:space="0" w:color="auto"/>
        <w:bottom w:val="none" w:sz="0" w:space="0" w:color="auto"/>
        <w:right w:val="none" w:sz="0" w:space="0" w:color="auto"/>
      </w:divBdr>
    </w:div>
    <w:div w:id="1166899992">
      <w:bodyDiv w:val="1"/>
      <w:marLeft w:val="0"/>
      <w:marRight w:val="0"/>
      <w:marTop w:val="0"/>
      <w:marBottom w:val="0"/>
      <w:divBdr>
        <w:top w:val="none" w:sz="0" w:space="0" w:color="auto"/>
        <w:left w:val="none" w:sz="0" w:space="0" w:color="auto"/>
        <w:bottom w:val="none" w:sz="0" w:space="0" w:color="auto"/>
        <w:right w:val="none" w:sz="0" w:space="0" w:color="auto"/>
      </w:divBdr>
    </w:div>
    <w:div w:id="1252810407">
      <w:bodyDiv w:val="1"/>
      <w:marLeft w:val="0"/>
      <w:marRight w:val="0"/>
      <w:marTop w:val="0"/>
      <w:marBottom w:val="0"/>
      <w:divBdr>
        <w:top w:val="none" w:sz="0" w:space="0" w:color="auto"/>
        <w:left w:val="none" w:sz="0" w:space="0" w:color="auto"/>
        <w:bottom w:val="none" w:sz="0" w:space="0" w:color="auto"/>
        <w:right w:val="none" w:sz="0" w:space="0" w:color="auto"/>
      </w:divBdr>
    </w:div>
    <w:div w:id="1263606649">
      <w:bodyDiv w:val="1"/>
      <w:marLeft w:val="0"/>
      <w:marRight w:val="0"/>
      <w:marTop w:val="0"/>
      <w:marBottom w:val="0"/>
      <w:divBdr>
        <w:top w:val="none" w:sz="0" w:space="0" w:color="auto"/>
        <w:left w:val="none" w:sz="0" w:space="0" w:color="auto"/>
        <w:bottom w:val="none" w:sz="0" w:space="0" w:color="auto"/>
        <w:right w:val="none" w:sz="0" w:space="0" w:color="auto"/>
      </w:divBdr>
    </w:div>
    <w:div w:id="1287739572">
      <w:bodyDiv w:val="1"/>
      <w:marLeft w:val="0"/>
      <w:marRight w:val="0"/>
      <w:marTop w:val="0"/>
      <w:marBottom w:val="0"/>
      <w:divBdr>
        <w:top w:val="none" w:sz="0" w:space="0" w:color="auto"/>
        <w:left w:val="none" w:sz="0" w:space="0" w:color="auto"/>
        <w:bottom w:val="none" w:sz="0" w:space="0" w:color="auto"/>
        <w:right w:val="none" w:sz="0" w:space="0" w:color="auto"/>
      </w:divBdr>
    </w:div>
    <w:div w:id="1343782635">
      <w:bodyDiv w:val="1"/>
      <w:marLeft w:val="0"/>
      <w:marRight w:val="0"/>
      <w:marTop w:val="0"/>
      <w:marBottom w:val="0"/>
      <w:divBdr>
        <w:top w:val="none" w:sz="0" w:space="0" w:color="auto"/>
        <w:left w:val="none" w:sz="0" w:space="0" w:color="auto"/>
        <w:bottom w:val="none" w:sz="0" w:space="0" w:color="auto"/>
        <w:right w:val="none" w:sz="0" w:space="0" w:color="auto"/>
      </w:divBdr>
    </w:div>
    <w:div w:id="1429886044">
      <w:bodyDiv w:val="1"/>
      <w:marLeft w:val="0"/>
      <w:marRight w:val="0"/>
      <w:marTop w:val="0"/>
      <w:marBottom w:val="0"/>
      <w:divBdr>
        <w:top w:val="none" w:sz="0" w:space="0" w:color="auto"/>
        <w:left w:val="none" w:sz="0" w:space="0" w:color="auto"/>
        <w:bottom w:val="none" w:sz="0" w:space="0" w:color="auto"/>
        <w:right w:val="none" w:sz="0" w:space="0" w:color="auto"/>
      </w:divBdr>
    </w:div>
    <w:div w:id="1445074399">
      <w:bodyDiv w:val="1"/>
      <w:marLeft w:val="0"/>
      <w:marRight w:val="0"/>
      <w:marTop w:val="0"/>
      <w:marBottom w:val="0"/>
      <w:divBdr>
        <w:top w:val="none" w:sz="0" w:space="0" w:color="auto"/>
        <w:left w:val="none" w:sz="0" w:space="0" w:color="auto"/>
        <w:bottom w:val="none" w:sz="0" w:space="0" w:color="auto"/>
        <w:right w:val="none" w:sz="0" w:space="0" w:color="auto"/>
      </w:divBdr>
    </w:div>
    <w:div w:id="1466006950">
      <w:bodyDiv w:val="1"/>
      <w:marLeft w:val="0"/>
      <w:marRight w:val="0"/>
      <w:marTop w:val="0"/>
      <w:marBottom w:val="0"/>
      <w:divBdr>
        <w:top w:val="none" w:sz="0" w:space="0" w:color="auto"/>
        <w:left w:val="none" w:sz="0" w:space="0" w:color="auto"/>
        <w:bottom w:val="none" w:sz="0" w:space="0" w:color="auto"/>
        <w:right w:val="none" w:sz="0" w:space="0" w:color="auto"/>
      </w:divBdr>
    </w:div>
    <w:div w:id="1504971585">
      <w:bodyDiv w:val="1"/>
      <w:marLeft w:val="0"/>
      <w:marRight w:val="0"/>
      <w:marTop w:val="0"/>
      <w:marBottom w:val="0"/>
      <w:divBdr>
        <w:top w:val="none" w:sz="0" w:space="0" w:color="auto"/>
        <w:left w:val="none" w:sz="0" w:space="0" w:color="auto"/>
        <w:bottom w:val="none" w:sz="0" w:space="0" w:color="auto"/>
        <w:right w:val="none" w:sz="0" w:space="0" w:color="auto"/>
      </w:divBdr>
    </w:div>
    <w:div w:id="1506282671">
      <w:bodyDiv w:val="1"/>
      <w:marLeft w:val="0"/>
      <w:marRight w:val="0"/>
      <w:marTop w:val="0"/>
      <w:marBottom w:val="0"/>
      <w:divBdr>
        <w:top w:val="none" w:sz="0" w:space="0" w:color="auto"/>
        <w:left w:val="none" w:sz="0" w:space="0" w:color="auto"/>
        <w:bottom w:val="none" w:sz="0" w:space="0" w:color="auto"/>
        <w:right w:val="none" w:sz="0" w:space="0" w:color="auto"/>
      </w:divBdr>
    </w:div>
    <w:div w:id="1558665132">
      <w:bodyDiv w:val="1"/>
      <w:marLeft w:val="0"/>
      <w:marRight w:val="0"/>
      <w:marTop w:val="0"/>
      <w:marBottom w:val="0"/>
      <w:divBdr>
        <w:top w:val="none" w:sz="0" w:space="0" w:color="auto"/>
        <w:left w:val="none" w:sz="0" w:space="0" w:color="auto"/>
        <w:bottom w:val="none" w:sz="0" w:space="0" w:color="auto"/>
        <w:right w:val="none" w:sz="0" w:space="0" w:color="auto"/>
      </w:divBdr>
    </w:div>
    <w:div w:id="1655835914">
      <w:bodyDiv w:val="1"/>
      <w:marLeft w:val="0"/>
      <w:marRight w:val="0"/>
      <w:marTop w:val="0"/>
      <w:marBottom w:val="0"/>
      <w:divBdr>
        <w:top w:val="none" w:sz="0" w:space="0" w:color="auto"/>
        <w:left w:val="none" w:sz="0" w:space="0" w:color="auto"/>
        <w:bottom w:val="none" w:sz="0" w:space="0" w:color="auto"/>
        <w:right w:val="none" w:sz="0" w:space="0" w:color="auto"/>
      </w:divBdr>
    </w:div>
    <w:div w:id="1711371909">
      <w:bodyDiv w:val="1"/>
      <w:marLeft w:val="0"/>
      <w:marRight w:val="0"/>
      <w:marTop w:val="0"/>
      <w:marBottom w:val="0"/>
      <w:divBdr>
        <w:top w:val="none" w:sz="0" w:space="0" w:color="auto"/>
        <w:left w:val="none" w:sz="0" w:space="0" w:color="auto"/>
        <w:bottom w:val="none" w:sz="0" w:space="0" w:color="auto"/>
        <w:right w:val="none" w:sz="0" w:space="0" w:color="auto"/>
      </w:divBdr>
    </w:div>
    <w:div w:id="1768766714">
      <w:bodyDiv w:val="1"/>
      <w:marLeft w:val="0"/>
      <w:marRight w:val="0"/>
      <w:marTop w:val="0"/>
      <w:marBottom w:val="0"/>
      <w:divBdr>
        <w:top w:val="none" w:sz="0" w:space="0" w:color="auto"/>
        <w:left w:val="none" w:sz="0" w:space="0" w:color="auto"/>
        <w:bottom w:val="none" w:sz="0" w:space="0" w:color="auto"/>
        <w:right w:val="none" w:sz="0" w:space="0" w:color="auto"/>
      </w:divBdr>
    </w:div>
    <w:div w:id="1773431311">
      <w:bodyDiv w:val="1"/>
      <w:marLeft w:val="0"/>
      <w:marRight w:val="0"/>
      <w:marTop w:val="0"/>
      <w:marBottom w:val="0"/>
      <w:divBdr>
        <w:top w:val="none" w:sz="0" w:space="0" w:color="auto"/>
        <w:left w:val="none" w:sz="0" w:space="0" w:color="auto"/>
        <w:bottom w:val="none" w:sz="0" w:space="0" w:color="auto"/>
        <w:right w:val="none" w:sz="0" w:space="0" w:color="auto"/>
      </w:divBdr>
    </w:div>
    <w:div w:id="1797986640">
      <w:bodyDiv w:val="1"/>
      <w:marLeft w:val="0"/>
      <w:marRight w:val="0"/>
      <w:marTop w:val="0"/>
      <w:marBottom w:val="0"/>
      <w:divBdr>
        <w:top w:val="none" w:sz="0" w:space="0" w:color="auto"/>
        <w:left w:val="none" w:sz="0" w:space="0" w:color="auto"/>
        <w:bottom w:val="none" w:sz="0" w:space="0" w:color="auto"/>
        <w:right w:val="none" w:sz="0" w:space="0" w:color="auto"/>
      </w:divBdr>
    </w:div>
    <w:div w:id="1850869555">
      <w:bodyDiv w:val="1"/>
      <w:marLeft w:val="0"/>
      <w:marRight w:val="0"/>
      <w:marTop w:val="0"/>
      <w:marBottom w:val="0"/>
      <w:divBdr>
        <w:top w:val="none" w:sz="0" w:space="0" w:color="auto"/>
        <w:left w:val="none" w:sz="0" w:space="0" w:color="auto"/>
        <w:bottom w:val="none" w:sz="0" w:space="0" w:color="auto"/>
        <w:right w:val="none" w:sz="0" w:space="0" w:color="auto"/>
      </w:divBdr>
    </w:div>
    <w:div w:id="1895433686">
      <w:bodyDiv w:val="1"/>
      <w:marLeft w:val="0"/>
      <w:marRight w:val="0"/>
      <w:marTop w:val="0"/>
      <w:marBottom w:val="0"/>
      <w:divBdr>
        <w:top w:val="none" w:sz="0" w:space="0" w:color="auto"/>
        <w:left w:val="none" w:sz="0" w:space="0" w:color="auto"/>
        <w:bottom w:val="none" w:sz="0" w:space="0" w:color="auto"/>
        <w:right w:val="none" w:sz="0" w:space="0" w:color="auto"/>
      </w:divBdr>
    </w:div>
    <w:div w:id="1925869200">
      <w:bodyDiv w:val="1"/>
      <w:marLeft w:val="0"/>
      <w:marRight w:val="0"/>
      <w:marTop w:val="0"/>
      <w:marBottom w:val="0"/>
      <w:divBdr>
        <w:top w:val="none" w:sz="0" w:space="0" w:color="auto"/>
        <w:left w:val="none" w:sz="0" w:space="0" w:color="auto"/>
        <w:bottom w:val="none" w:sz="0" w:space="0" w:color="auto"/>
        <w:right w:val="none" w:sz="0" w:space="0" w:color="auto"/>
      </w:divBdr>
    </w:div>
    <w:div w:id="1927152402">
      <w:bodyDiv w:val="1"/>
      <w:marLeft w:val="0"/>
      <w:marRight w:val="0"/>
      <w:marTop w:val="0"/>
      <w:marBottom w:val="0"/>
      <w:divBdr>
        <w:top w:val="none" w:sz="0" w:space="0" w:color="auto"/>
        <w:left w:val="none" w:sz="0" w:space="0" w:color="auto"/>
        <w:bottom w:val="none" w:sz="0" w:space="0" w:color="auto"/>
        <w:right w:val="none" w:sz="0" w:space="0" w:color="auto"/>
      </w:divBdr>
    </w:div>
    <w:div w:id="1969969706">
      <w:bodyDiv w:val="1"/>
      <w:marLeft w:val="0"/>
      <w:marRight w:val="0"/>
      <w:marTop w:val="0"/>
      <w:marBottom w:val="0"/>
      <w:divBdr>
        <w:top w:val="none" w:sz="0" w:space="0" w:color="auto"/>
        <w:left w:val="none" w:sz="0" w:space="0" w:color="auto"/>
        <w:bottom w:val="none" w:sz="0" w:space="0" w:color="auto"/>
        <w:right w:val="none" w:sz="0" w:space="0" w:color="auto"/>
      </w:divBdr>
    </w:div>
    <w:div w:id="1998729446">
      <w:bodyDiv w:val="1"/>
      <w:marLeft w:val="0"/>
      <w:marRight w:val="0"/>
      <w:marTop w:val="0"/>
      <w:marBottom w:val="0"/>
      <w:divBdr>
        <w:top w:val="none" w:sz="0" w:space="0" w:color="auto"/>
        <w:left w:val="none" w:sz="0" w:space="0" w:color="auto"/>
        <w:bottom w:val="none" w:sz="0" w:space="0" w:color="auto"/>
        <w:right w:val="none" w:sz="0" w:space="0" w:color="auto"/>
      </w:divBdr>
    </w:div>
    <w:div w:id="2100709147">
      <w:bodyDiv w:val="1"/>
      <w:marLeft w:val="0"/>
      <w:marRight w:val="0"/>
      <w:marTop w:val="0"/>
      <w:marBottom w:val="0"/>
      <w:divBdr>
        <w:top w:val="none" w:sz="0" w:space="0" w:color="auto"/>
        <w:left w:val="none" w:sz="0" w:space="0" w:color="auto"/>
        <w:bottom w:val="none" w:sz="0" w:space="0" w:color="auto"/>
        <w:right w:val="none" w:sz="0" w:space="0" w:color="auto"/>
      </w:divBdr>
    </w:div>
    <w:div w:id="210784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c.gov/news-issuances/news-releases/2025/nr-occ-2025-117.html" TargetMode="External"/><Relationship Id="rId18" Type="http://schemas.openxmlformats.org/officeDocument/2006/relationships/hyperlink" Target="https://www.fdic.gov/news/financial-institution-letters/2025/streamlining-consolidated-reports-condition-and-income-call?source=fil&amp;utm_medium=gd&amp;utm_source=6707251" TargetMode="External"/><Relationship Id="rId26" Type="http://schemas.openxmlformats.org/officeDocument/2006/relationships/hyperlink" Target="https://consumer.ftc.gov/articles/what-know-about-identity-theft" TargetMode="External"/><Relationship Id="rId39" Type="http://schemas.openxmlformats.org/officeDocument/2006/relationships/hyperlink" Target="https://www.federalreserve.gov/newsevents/pressreleases/other20251204b.htm" TargetMode="External"/><Relationship Id="rId21" Type="http://schemas.openxmlformats.org/officeDocument/2006/relationships/hyperlink" Target="https://www.federalreserve.gov/publications/2025-december-supervision-and-regulation-report-data-sources-terms.htm" TargetMode="External"/><Relationship Id="rId34" Type="http://schemas.openxmlformats.org/officeDocument/2006/relationships/hyperlink" Target="https://www.fdic.gov/news/press-releases/2025/interagency-statement-occ-and-fdic-withdrawal-interagency-leveraged"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cc.gov/news-issuances/news-releases/2025/nr-occ-2025-115.html" TargetMode="External"/><Relationship Id="rId20" Type="http://schemas.openxmlformats.org/officeDocument/2006/relationships/hyperlink" Target="https://www.federalreserve.gov/publications/files/202512-supervision-and-regulation-report.pdf" TargetMode="External"/><Relationship Id="rId29" Type="http://schemas.openxmlformats.org/officeDocument/2006/relationships/hyperlink" Target="https://reportfraud.ftc.gov/" TargetMode="External"/><Relationship Id="rId41" Type="http://schemas.openxmlformats.org/officeDocument/2006/relationships/hyperlink" Target="https://www.federalregister.gov/documents/2025/11/13/2025-19865/small-business-lending-under-the-equal-credit-opportunity-act-regulation-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c.gov/news-issuances/news-releases/2025/nr-occ-2025-114.html" TargetMode="External"/><Relationship Id="rId24" Type="http://schemas.openxmlformats.org/officeDocument/2006/relationships/hyperlink" Target="https://consumer.ftc.gov/consumer-alerts/2025/12/can-you-unbox-signs-reshipping-scam?utm_source=govdelivery" TargetMode="External"/><Relationship Id="rId32" Type="http://schemas.openxmlformats.org/officeDocument/2006/relationships/hyperlink" Target="https://consumer.ftc.gov/all-scams/job-scams" TargetMode="External"/><Relationship Id="rId37" Type="http://schemas.openxmlformats.org/officeDocument/2006/relationships/hyperlink" Target="https://www.fincen.gov/news/news-releases/fincen-issues-financial-trend-analysis-ransomware" TargetMode="External"/><Relationship Id="rId40" Type="http://schemas.openxmlformats.org/officeDocument/2006/relationships/hyperlink" Target="https://www.fdic.gov/board/npr-cblr-npr-frn-2025.pdf" TargetMode="External"/><Relationship Id="rId5" Type="http://schemas.openxmlformats.org/officeDocument/2006/relationships/webSettings" Target="webSettings.xml"/><Relationship Id="rId15" Type="http://schemas.openxmlformats.org/officeDocument/2006/relationships/hyperlink" Target="https://www.federalreserve.gov/newsevents/testimony/bowman20251202a.htm" TargetMode="External"/><Relationship Id="rId23" Type="http://schemas.openxmlformats.org/officeDocument/2006/relationships/hyperlink" Target="https://www.federalreserve.gov/newsevents/pressreleases/other20251204b.htm" TargetMode="External"/><Relationship Id="rId28" Type="http://schemas.openxmlformats.org/officeDocument/2006/relationships/hyperlink" Target="https://www.identitytheft.gov/Steps" TargetMode="External"/><Relationship Id="rId36" Type="http://schemas.openxmlformats.org/officeDocument/2006/relationships/hyperlink" Target="https://www.fincen.gov/news/news-releases/fincen-issues-financial-trend-analysis-ransomware" TargetMode="External"/><Relationship Id="rId10" Type="http://schemas.openxmlformats.org/officeDocument/2006/relationships/hyperlink" Target="https://www.frbservices.org/resources/fees" TargetMode="External"/><Relationship Id="rId19" Type="http://schemas.openxmlformats.org/officeDocument/2006/relationships/hyperlink" Target="https://www.federalreserve.gov/publications/supervision-and-regulation-report.htm" TargetMode="External"/><Relationship Id="rId31" Type="http://schemas.openxmlformats.org/officeDocument/2006/relationships/hyperlink" Target="https://consumer.ftc.gov/jobs-making-money" TargetMode="External"/><Relationship Id="rId4" Type="http://schemas.openxmlformats.org/officeDocument/2006/relationships/settings" Target="settings.xml"/><Relationship Id="rId9" Type="http://schemas.openxmlformats.org/officeDocument/2006/relationships/hyperlink" Target="https://www.federalreserve.gov/newsevents/pressreleases/other20251204a.htm" TargetMode="External"/><Relationship Id="rId14" Type="http://schemas.openxmlformats.org/officeDocument/2006/relationships/hyperlink" Target="https://occ.gov/news-issuances/congressional-testimony/2025/ct-occ-2025-117-written.pdf" TargetMode="External"/><Relationship Id="rId22" Type="http://schemas.openxmlformats.org/officeDocument/2006/relationships/hyperlink" Target="https://www.jdsupra.com/legalnews/federal-reserve-reports-decline-in-open-1455695/?origin=CEG&amp;utm_source=CEG&amp;utm_medium=email&amp;utm_campaign=CustomEmailDigest&amp;utm_term=jds-article&amp;utm_content=article-link" TargetMode="External"/><Relationship Id="rId27" Type="http://schemas.openxmlformats.org/officeDocument/2006/relationships/hyperlink" Target="https://consumer.ftc.gov/articles/job-scams" TargetMode="External"/><Relationship Id="rId30" Type="http://schemas.openxmlformats.org/officeDocument/2006/relationships/hyperlink" Target="https://www.uspis.gov/report" TargetMode="External"/><Relationship Id="rId35" Type="http://schemas.openxmlformats.org/officeDocument/2006/relationships/hyperlink" Target="https://www.federalreserve.gov/releases/g19/current/default.ht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occ.gov/topics/laws-and-regulations/interpretations-and-precedents/summary-of-interpretive-letter-1179-requests.html" TargetMode="External"/><Relationship Id="rId17" Type="http://schemas.openxmlformats.org/officeDocument/2006/relationships/hyperlink" Target="https://occ.gov/news-issuances/bulletins/2025/bulletin-2025-43.html" TargetMode="External"/><Relationship Id="rId25" Type="http://schemas.openxmlformats.org/officeDocument/2006/relationships/hyperlink" Target="https://consumer.ftc.gov/articles/job-scams" TargetMode="External"/><Relationship Id="rId33" Type="http://schemas.openxmlformats.org/officeDocument/2006/relationships/hyperlink" Target="https://consumer.ftc.gov/all-scams/money-making-opportunity-scams" TargetMode="External"/><Relationship Id="rId38" Type="http://schemas.openxmlformats.org/officeDocument/2006/relationships/hyperlink" Target="https://www.fincen.gov/system/files/2025-12/FTA-Ransomw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DC85F-7408-4F78-8EA5-4970940B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4182</Words>
  <Characters>23598</Characters>
  <Application>Microsoft Office Word</Application>
  <DocSecurity>0</DocSecurity>
  <Lines>452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Greavu</dc:creator>
  <cp:keywords/>
  <dc:description/>
  <cp:lastModifiedBy>Nikki Dohrman</cp:lastModifiedBy>
  <cp:revision>7</cp:revision>
  <dcterms:created xsi:type="dcterms:W3CDTF">2025-12-10T18:53:00Z</dcterms:created>
  <dcterms:modified xsi:type="dcterms:W3CDTF">2025-12-10T21:18:00Z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c9e3f3b33c4a971dd3b92ffbaa8ec92025d2ebba0c880ab86329f349cfcdb4c6</vt:lpwstr>
  </property>
</Properties>
</file>