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25028" w14:textId="42823251" w:rsidR="002F7965" w:rsidRPr="0036766C" w:rsidRDefault="00F677DF" w:rsidP="002F7965">
      <w:pPr>
        <w:rPr>
          <w:rFonts w:ascii="Times New Roman" w:hAnsi="Times New Roman"/>
          <w:sz w:val="24"/>
          <w:szCs w:val="32"/>
        </w:rPr>
      </w:pPr>
      <w:r w:rsidRPr="0036766C">
        <w:rPr>
          <w:rFonts w:ascii="Times New Roman" w:hAnsi="Times New Roman"/>
          <w:sz w:val="24"/>
          <w:szCs w:val="32"/>
        </w:rPr>
        <w:t>This is a companion to the AOBA webinar for members, Deep Dives on Maryland BEPS, on April 29, 2025.</w:t>
      </w:r>
    </w:p>
    <w:p w14:paraId="65C89B66" w14:textId="77777777" w:rsidR="00F677DF" w:rsidRPr="0036766C" w:rsidRDefault="00F677DF" w:rsidP="002F7965">
      <w:pPr>
        <w:rPr>
          <w:rFonts w:ascii="Times New Roman" w:hAnsi="Times New Roman"/>
          <w:sz w:val="24"/>
          <w:szCs w:val="32"/>
        </w:rPr>
      </w:pPr>
    </w:p>
    <w:p w14:paraId="199B082B" w14:textId="253508ED" w:rsidR="00A86545" w:rsidRPr="000A160F" w:rsidRDefault="00A86545" w:rsidP="00D41F2B">
      <w:pPr>
        <w:pStyle w:val="ListParagraph"/>
        <w:numPr>
          <w:ilvl w:val="0"/>
          <w:numId w:val="13"/>
        </w:numPr>
        <w:rPr>
          <w:rFonts w:ascii="Times New Roman" w:eastAsiaTheme="majorEastAsia" w:hAnsi="Times New Roman"/>
          <w:b/>
          <w:sz w:val="24"/>
          <w:szCs w:val="32"/>
        </w:rPr>
      </w:pPr>
      <w:r w:rsidRPr="000A160F">
        <w:rPr>
          <w:rFonts w:ascii="Times New Roman" w:eastAsiaTheme="majorEastAsia" w:hAnsi="Times New Roman"/>
          <w:b/>
          <w:sz w:val="24"/>
          <w:szCs w:val="32"/>
        </w:rPr>
        <w:t>BEPS MoCo and MD state have different dates for submission. Can submission for both be done at </w:t>
      </w:r>
      <w:proofErr w:type="gramStart"/>
      <w:r w:rsidRPr="000A160F">
        <w:rPr>
          <w:rFonts w:ascii="Times New Roman" w:eastAsiaTheme="majorEastAsia" w:hAnsi="Times New Roman"/>
          <w:b/>
          <w:sz w:val="24"/>
          <w:szCs w:val="32"/>
        </w:rPr>
        <w:t>same</w:t>
      </w:r>
      <w:proofErr w:type="gramEnd"/>
      <w:r w:rsidRPr="000A160F">
        <w:rPr>
          <w:rFonts w:ascii="Times New Roman" w:eastAsiaTheme="majorEastAsia" w:hAnsi="Times New Roman"/>
          <w:b/>
          <w:sz w:val="24"/>
          <w:szCs w:val="32"/>
        </w:rPr>
        <w:t xml:space="preserve"> time?​</w:t>
      </w:r>
    </w:p>
    <w:p w14:paraId="3E0ADB27" w14:textId="3C41ACA3" w:rsidR="00F677DF" w:rsidRDefault="00946FD2" w:rsidP="00A86545">
      <w:pPr>
        <w:rPr>
          <w:rFonts w:ascii="Times New Roman" w:eastAsiaTheme="majorEastAsia" w:hAnsi="Times New Roman"/>
          <w:sz w:val="24"/>
          <w:szCs w:val="32"/>
        </w:rPr>
      </w:pPr>
      <w:r>
        <w:rPr>
          <w:rFonts w:ascii="Times New Roman" w:eastAsiaTheme="majorEastAsia" w:hAnsi="Times New Roman"/>
          <w:sz w:val="24"/>
          <w:szCs w:val="32"/>
        </w:rPr>
        <w:t xml:space="preserve">Assuming this is related to benchmarking submission, they can be done at the same time if you follow the same benchmarking </w:t>
      </w:r>
      <w:r w:rsidR="005A0708">
        <w:rPr>
          <w:rFonts w:ascii="Times New Roman" w:eastAsiaTheme="majorEastAsia" w:hAnsi="Times New Roman"/>
          <w:sz w:val="24"/>
          <w:szCs w:val="32"/>
        </w:rPr>
        <w:t>steps. AOBA held a webinar for Montgomery County members about Maryland state benchmarking in February going into details of this process.</w:t>
      </w:r>
      <w:r w:rsidR="001C696C">
        <w:rPr>
          <w:rFonts w:ascii="Times New Roman" w:eastAsiaTheme="majorEastAsia" w:hAnsi="Times New Roman"/>
          <w:sz w:val="24"/>
          <w:szCs w:val="32"/>
        </w:rPr>
        <w:t xml:space="preserve"> If you’d like to access these resources, please contact </w:t>
      </w:r>
      <w:r w:rsidR="00287309">
        <w:rPr>
          <w:rFonts w:ascii="Times New Roman" w:eastAsiaTheme="majorEastAsia" w:hAnsi="Times New Roman"/>
          <w:sz w:val="24"/>
          <w:szCs w:val="32"/>
        </w:rPr>
        <w:t>AOBA’s Director of Sustainability Policy and Strat</w:t>
      </w:r>
      <w:r w:rsidR="00525C15">
        <w:rPr>
          <w:rFonts w:ascii="Times New Roman" w:eastAsiaTheme="majorEastAsia" w:hAnsi="Times New Roman"/>
          <w:sz w:val="24"/>
          <w:szCs w:val="32"/>
        </w:rPr>
        <w:t xml:space="preserve">egy, </w:t>
      </w:r>
      <w:r w:rsidR="001C696C">
        <w:rPr>
          <w:rFonts w:ascii="Times New Roman" w:eastAsiaTheme="majorEastAsia" w:hAnsi="Times New Roman"/>
          <w:sz w:val="24"/>
          <w:szCs w:val="32"/>
        </w:rPr>
        <w:t xml:space="preserve">Chris Pendley at </w:t>
      </w:r>
      <w:hyperlink r:id="rId7" w:history="1">
        <w:r w:rsidR="001C696C" w:rsidRPr="005D22A5">
          <w:rPr>
            <w:rStyle w:val="Hyperlink"/>
            <w:rFonts w:ascii="Times New Roman" w:eastAsiaTheme="majorEastAsia" w:hAnsi="Times New Roman"/>
            <w:sz w:val="24"/>
            <w:szCs w:val="32"/>
          </w:rPr>
          <w:t>cpendley@aoba-metro.org</w:t>
        </w:r>
      </w:hyperlink>
      <w:r w:rsidR="001C696C">
        <w:rPr>
          <w:rFonts w:ascii="Times New Roman" w:eastAsiaTheme="majorEastAsia" w:hAnsi="Times New Roman"/>
          <w:sz w:val="24"/>
          <w:szCs w:val="32"/>
        </w:rPr>
        <w:t>.</w:t>
      </w:r>
    </w:p>
    <w:p w14:paraId="5F1DB647" w14:textId="77777777" w:rsidR="005A0708" w:rsidRDefault="005A0708" w:rsidP="00A86545">
      <w:pPr>
        <w:rPr>
          <w:rFonts w:ascii="Times New Roman" w:eastAsiaTheme="majorEastAsia" w:hAnsi="Times New Roman"/>
          <w:sz w:val="24"/>
          <w:szCs w:val="32"/>
        </w:rPr>
      </w:pPr>
    </w:p>
    <w:p w14:paraId="58D8F168" w14:textId="15D8E013" w:rsidR="005A0708" w:rsidRDefault="001C696C" w:rsidP="00A86545">
      <w:pPr>
        <w:rPr>
          <w:rFonts w:ascii="Times New Roman" w:eastAsiaTheme="majorEastAsia" w:hAnsi="Times New Roman"/>
          <w:sz w:val="24"/>
          <w:szCs w:val="32"/>
        </w:rPr>
      </w:pPr>
      <w:r>
        <w:rPr>
          <w:rFonts w:ascii="Times New Roman" w:eastAsiaTheme="majorEastAsia" w:hAnsi="Times New Roman"/>
          <w:sz w:val="24"/>
          <w:szCs w:val="32"/>
        </w:rPr>
        <w:t xml:space="preserve">While </w:t>
      </w:r>
      <w:r w:rsidR="00287309">
        <w:rPr>
          <w:rFonts w:ascii="Times New Roman" w:eastAsiaTheme="majorEastAsia" w:hAnsi="Times New Roman"/>
          <w:sz w:val="24"/>
          <w:szCs w:val="32"/>
        </w:rPr>
        <w:t>AOBA</w:t>
      </w:r>
      <w:r>
        <w:rPr>
          <w:rFonts w:ascii="Times New Roman" w:eastAsiaTheme="majorEastAsia" w:hAnsi="Times New Roman"/>
          <w:sz w:val="24"/>
          <w:szCs w:val="32"/>
        </w:rPr>
        <w:t xml:space="preserve"> do</w:t>
      </w:r>
      <w:r w:rsidR="00287309">
        <w:rPr>
          <w:rFonts w:ascii="Times New Roman" w:eastAsiaTheme="majorEastAsia" w:hAnsi="Times New Roman"/>
          <w:sz w:val="24"/>
          <w:szCs w:val="32"/>
        </w:rPr>
        <w:t>es</w:t>
      </w:r>
      <w:r>
        <w:rPr>
          <w:rFonts w:ascii="Times New Roman" w:eastAsiaTheme="majorEastAsia" w:hAnsi="Times New Roman"/>
          <w:sz w:val="24"/>
          <w:szCs w:val="32"/>
        </w:rPr>
        <w:t xml:space="preserve"> not know for sure,</w:t>
      </w:r>
      <w:r w:rsidR="005A0708">
        <w:rPr>
          <w:rFonts w:ascii="Times New Roman" w:eastAsiaTheme="majorEastAsia" w:hAnsi="Times New Roman"/>
          <w:sz w:val="24"/>
          <w:szCs w:val="32"/>
        </w:rPr>
        <w:t xml:space="preserve"> </w:t>
      </w:r>
      <w:r>
        <w:rPr>
          <w:rFonts w:ascii="Times New Roman" w:eastAsiaTheme="majorEastAsia" w:hAnsi="Times New Roman"/>
          <w:sz w:val="24"/>
          <w:szCs w:val="32"/>
        </w:rPr>
        <w:t>AOBA would not be surprised if</w:t>
      </w:r>
      <w:r w:rsidR="001670F7">
        <w:rPr>
          <w:rFonts w:ascii="Times New Roman" w:eastAsiaTheme="majorEastAsia" w:hAnsi="Times New Roman"/>
          <w:sz w:val="24"/>
          <w:szCs w:val="32"/>
        </w:rPr>
        <w:t xml:space="preserve"> MDE opts to issue some sort of public guidance about Montgomery County benchmarking </w:t>
      </w:r>
      <w:r w:rsidR="00A06290">
        <w:rPr>
          <w:rFonts w:ascii="Times New Roman" w:eastAsiaTheme="majorEastAsia" w:hAnsi="Times New Roman"/>
          <w:sz w:val="24"/>
          <w:szCs w:val="32"/>
        </w:rPr>
        <w:t xml:space="preserve">after HB49 is signed into law. </w:t>
      </w:r>
      <w:r w:rsidR="00747F16">
        <w:rPr>
          <w:rFonts w:ascii="Times New Roman" w:eastAsiaTheme="majorEastAsia" w:hAnsi="Times New Roman"/>
          <w:sz w:val="24"/>
          <w:szCs w:val="32"/>
        </w:rPr>
        <w:t>AOBA has followed up with MDE about this</w:t>
      </w:r>
      <w:r>
        <w:rPr>
          <w:rFonts w:ascii="Times New Roman" w:eastAsiaTheme="majorEastAsia" w:hAnsi="Times New Roman"/>
          <w:sz w:val="24"/>
          <w:szCs w:val="32"/>
        </w:rPr>
        <w:t>; any official or unofficial guidance from MDE will not be published until after</w:t>
      </w:r>
      <w:r w:rsidR="008E777F">
        <w:rPr>
          <w:rFonts w:ascii="Times New Roman" w:eastAsiaTheme="majorEastAsia" w:hAnsi="Times New Roman"/>
          <w:sz w:val="24"/>
          <w:szCs w:val="32"/>
        </w:rPr>
        <w:t xml:space="preserve"> HB49 becomes law</w:t>
      </w:r>
      <w:r w:rsidR="00747F16">
        <w:rPr>
          <w:rFonts w:ascii="Times New Roman" w:eastAsiaTheme="majorEastAsia" w:hAnsi="Times New Roman"/>
          <w:sz w:val="24"/>
          <w:szCs w:val="32"/>
        </w:rPr>
        <w:t>.</w:t>
      </w:r>
    </w:p>
    <w:p w14:paraId="68F44267" w14:textId="77777777" w:rsidR="00747F16" w:rsidRDefault="00747F16" w:rsidP="00A86545">
      <w:pPr>
        <w:rPr>
          <w:rFonts w:ascii="Times New Roman" w:eastAsiaTheme="majorEastAsia" w:hAnsi="Times New Roman"/>
          <w:sz w:val="24"/>
          <w:szCs w:val="32"/>
        </w:rPr>
      </w:pPr>
    </w:p>
    <w:p w14:paraId="2328CF25" w14:textId="0050A272" w:rsidR="00E90CCF" w:rsidRDefault="00747F16" w:rsidP="00A86545">
      <w:pPr>
        <w:rPr>
          <w:rFonts w:ascii="Times New Roman" w:eastAsiaTheme="majorEastAsia" w:hAnsi="Times New Roman"/>
          <w:sz w:val="24"/>
          <w:szCs w:val="32"/>
        </w:rPr>
      </w:pPr>
      <w:r>
        <w:rPr>
          <w:rFonts w:ascii="Times New Roman" w:eastAsiaTheme="majorEastAsia" w:hAnsi="Times New Roman"/>
          <w:sz w:val="24"/>
          <w:szCs w:val="32"/>
        </w:rPr>
        <w:t>If this question is related to BEPS, as discussed in the presentation, Montgomery County buildings are not subject to state BEPS per HB49.</w:t>
      </w:r>
      <w:r w:rsidR="00222749">
        <w:rPr>
          <w:rFonts w:ascii="Times New Roman" w:eastAsiaTheme="majorEastAsia" w:hAnsi="Times New Roman"/>
          <w:sz w:val="24"/>
          <w:szCs w:val="32"/>
        </w:rPr>
        <w:t xml:space="preserve"> AOBA</w:t>
      </w:r>
      <w:r w:rsidR="005B53CD">
        <w:rPr>
          <w:rFonts w:ascii="Times New Roman" w:eastAsiaTheme="majorEastAsia" w:hAnsi="Times New Roman"/>
          <w:sz w:val="24"/>
          <w:szCs w:val="32"/>
        </w:rPr>
        <w:t xml:space="preserve"> will</w:t>
      </w:r>
      <w:r w:rsidR="00222749">
        <w:rPr>
          <w:rFonts w:ascii="Times New Roman" w:eastAsiaTheme="majorEastAsia" w:hAnsi="Times New Roman"/>
          <w:sz w:val="24"/>
          <w:szCs w:val="32"/>
        </w:rPr>
        <w:t xml:space="preserve"> develop a couple of resources to help </w:t>
      </w:r>
      <w:r w:rsidR="00C306A7">
        <w:rPr>
          <w:rFonts w:ascii="Times New Roman" w:eastAsiaTheme="majorEastAsia" w:hAnsi="Times New Roman"/>
          <w:sz w:val="24"/>
          <w:szCs w:val="32"/>
        </w:rPr>
        <w:t>members better track compliance deadlines.</w:t>
      </w:r>
    </w:p>
    <w:p w14:paraId="586B3649" w14:textId="77777777" w:rsidR="00E90CCF" w:rsidRPr="0036766C" w:rsidRDefault="00E90CCF" w:rsidP="00A86545">
      <w:pPr>
        <w:rPr>
          <w:rFonts w:ascii="Times New Roman" w:eastAsiaTheme="majorEastAsia" w:hAnsi="Times New Roman"/>
          <w:sz w:val="24"/>
          <w:szCs w:val="32"/>
        </w:rPr>
      </w:pPr>
    </w:p>
    <w:p w14:paraId="6B95072D" w14:textId="34F676B2" w:rsidR="00A86545" w:rsidRPr="000A160F" w:rsidRDefault="00A86545" w:rsidP="00D41F2B">
      <w:pPr>
        <w:pStyle w:val="ListParagraph"/>
        <w:numPr>
          <w:ilvl w:val="0"/>
          <w:numId w:val="13"/>
        </w:numPr>
        <w:rPr>
          <w:rFonts w:ascii="Times New Roman" w:eastAsiaTheme="majorEastAsia" w:hAnsi="Times New Roman"/>
          <w:b/>
          <w:sz w:val="24"/>
          <w:szCs w:val="32"/>
        </w:rPr>
      </w:pPr>
      <w:r w:rsidRPr="000A160F">
        <w:rPr>
          <w:rFonts w:ascii="Times New Roman" w:eastAsiaTheme="majorEastAsia" w:hAnsi="Times New Roman"/>
          <w:b/>
          <w:sz w:val="24"/>
          <w:szCs w:val="32"/>
        </w:rPr>
        <w:t>What uses are officially exempt?</w:t>
      </w:r>
    </w:p>
    <w:p w14:paraId="0796C758" w14:textId="669C9456" w:rsidR="00747F16" w:rsidRDefault="00F4613F" w:rsidP="00747F16">
      <w:pPr>
        <w:rPr>
          <w:rFonts w:ascii="Times New Roman" w:eastAsiaTheme="majorEastAsia" w:hAnsi="Times New Roman"/>
          <w:sz w:val="24"/>
          <w:szCs w:val="32"/>
        </w:rPr>
      </w:pPr>
      <w:r>
        <w:rPr>
          <w:rFonts w:ascii="Times New Roman" w:eastAsiaTheme="majorEastAsia" w:hAnsi="Times New Roman"/>
          <w:sz w:val="24"/>
          <w:szCs w:val="32"/>
        </w:rPr>
        <w:t>Assuming this is related to Maryland BEPS, the same original building types (schools) are exempted</w:t>
      </w:r>
      <w:r w:rsidR="005B53CD">
        <w:rPr>
          <w:rFonts w:ascii="Times New Roman" w:eastAsiaTheme="majorEastAsia" w:hAnsi="Times New Roman"/>
          <w:sz w:val="24"/>
          <w:szCs w:val="32"/>
        </w:rPr>
        <w:t xml:space="preserve">. HB49 also exempts </w:t>
      </w:r>
      <w:r>
        <w:rPr>
          <w:rFonts w:ascii="Times New Roman" w:eastAsiaTheme="majorEastAsia" w:hAnsi="Times New Roman"/>
          <w:sz w:val="24"/>
          <w:szCs w:val="32"/>
        </w:rPr>
        <w:t>hospitals and manufacturing. SCIFs, if your property has any of them, are also exempted.</w:t>
      </w:r>
    </w:p>
    <w:p w14:paraId="0C2D0A0A" w14:textId="77777777" w:rsidR="00F4613F" w:rsidRDefault="00F4613F" w:rsidP="00747F16">
      <w:pPr>
        <w:rPr>
          <w:rFonts w:ascii="Times New Roman" w:eastAsiaTheme="majorEastAsia" w:hAnsi="Times New Roman"/>
          <w:sz w:val="24"/>
          <w:szCs w:val="32"/>
        </w:rPr>
      </w:pPr>
    </w:p>
    <w:p w14:paraId="696BB609" w14:textId="671C09CE" w:rsidR="00F3571B" w:rsidRPr="00747F16" w:rsidRDefault="00F4613F" w:rsidP="00747F16">
      <w:pPr>
        <w:rPr>
          <w:rFonts w:ascii="Times New Roman" w:eastAsiaTheme="majorEastAsia" w:hAnsi="Times New Roman"/>
          <w:sz w:val="24"/>
          <w:szCs w:val="32"/>
        </w:rPr>
      </w:pPr>
      <w:r>
        <w:rPr>
          <w:rFonts w:ascii="Times New Roman" w:eastAsiaTheme="majorEastAsia" w:hAnsi="Times New Roman"/>
          <w:sz w:val="24"/>
          <w:szCs w:val="32"/>
        </w:rPr>
        <w:t>In addition, some specific energy uses</w:t>
      </w:r>
      <w:r w:rsidR="00527D80">
        <w:rPr>
          <w:rFonts w:ascii="Times New Roman" w:eastAsiaTheme="majorEastAsia" w:hAnsi="Times New Roman"/>
          <w:sz w:val="24"/>
          <w:szCs w:val="32"/>
        </w:rPr>
        <w:t xml:space="preserve"> like parking lot energy</w:t>
      </w:r>
      <w:r w:rsidR="005B53CD">
        <w:rPr>
          <w:rFonts w:ascii="Times New Roman" w:eastAsiaTheme="majorEastAsia" w:hAnsi="Times New Roman"/>
          <w:sz w:val="24"/>
          <w:szCs w:val="32"/>
        </w:rPr>
        <w:t xml:space="preserve"> and</w:t>
      </w:r>
      <w:r w:rsidR="00670097">
        <w:rPr>
          <w:rFonts w:ascii="Times New Roman" w:eastAsiaTheme="majorEastAsia" w:hAnsi="Times New Roman"/>
          <w:sz w:val="24"/>
          <w:szCs w:val="32"/>
        </w:rPr>
        <w:t xml:space="preserve"> EV</w:t>
      </w:r>
      <w:r w:rsidR="005B53CD">
        <w:rPr>
          <w:rFonts w:ascii="Times New Roman" w:eastAsiaTheme="majorEastAsia" w:hAnsi="Times New Roman"/>
          <w:sz w:val="24"/>
          <w:szCs w:val="32"/>
        </w:rPr>
        <w:t xml:space="preserve"> charging stations </w:t>
      </w:r>
      <w:r w:rsidR="00670097">
        <w:rPr>
          <w:rFonts w:ascii="Times New Roman" w:eastAsiaTheme="majorEastAsia" w:hAnsi="Times New Roman"/>
          <w:sz w:val="24"/>
          <w:szCs w:val="32"/>
        </w:rPr>
        <w:t xml:space="preserve">are also exempted. MDE has specific guidance on </w:t>
      </w:r>
      <w:r w:rsidR="00F3571B">
        <w:rPr>
          <w:rFonts w:ascii="Times New Roman" w:eastAsiaTheme="majorEastAsia" w:hAnsi="Times New Roman"/>
          <w:sz w:val="24"/>
          <w:szCs w:val="32"/>
        </w:rPr>
        <w:t xml:space="preserve">how to manage </w:t>
      </w:r>
      <w:r w:rsidR="000E5D08">
        <w:rPr>
          <w:rFonts w:ascii="Times New Roman" w:eastAsiaTheme="majorEastAsia" w:hAnsi="Times New Roman"/>
          <w:sz w:val="24"/>
          <w:szCs w:val="32"/>
        </w:rPr>
        <w:t>this in your benchmarking submission.</w:t>
      </w:r>
    </w:p>
    <w:p w14:paraId="55594854" w14:textId="77777777" w:rsidR="00F677DF" w:rsidRPr="0036766C" w:rsidRDefault="00F677DF" w:rsidP="00A86545">
      <w:pPr>
        <w:rPr>
          <w:rFonts w:ascii="Times New Roman" w:eastAsiaTheme="majorEastAsia" w:hAnsi="Times New Roman"/>
          <w:sz w:val="24"/>
          <w:szCs w:val="32"/>
        </w:rPr>
      </w:pPr>
    </w:p>
    <w:p w14:paraId="4F4133F8" w14:textId="64B51FBC" w:rsidR="00A86545" w:rsidRPr="000A160F" w:rsidRDefault="00A86545" w:rsidP="00D41F2B">
      <w:pPr>
        <w:pStyle w:val="ListParagraph"/>
        <w:numPr>
          <w:ilvl w:val="0"/>
          <w:numId w:val="13"/>
        </w:numPr>
        <w:rPr>
          <w:rFonts w:ascii="Times New Roman" w:eastAsiaTheme="majorEastAsia" w:hAnsi="Times New Roman"/>
          <w:b/>
          <w:sz w:val="24"/>
          <w:szCs w:val="32"/>
        </w:rPr>
      </w:pPr>
      <w:r w:rsidRPr="000A160F">
        <w:rPr>
          <w:rFonts w:ascii="Times New Roman" w:eastAsiaTheme="majorEastAsia" w:hAnsi="Times New Roman"/>
          <w:b/>
          <w:sz w:val="24"/>
          <w:szCs w:val="32"/>
        </w:rPr>
        <w:t>Heard a rumor that Montgomery County may exempt out of state requirements - any truth? ​</w:t>
      </w:r>
    </w:p>
    <w:p w14:paraId="636CBC5C" w14:textId="73DE99CA" w:rsidR="00F677DF" w:rsidRDefault="000E5D08" w:rsidP="00A86545">
      <w:pPr>
        <w:rPr>
          <w:rFonts w:ascii="Times New Roman" w:eastAsiaTheme="majorEastAsia" w:hAnsi="Times New Roman"/>
          <w:sz w:val="24"/>
          <w:szCs w:val="32"/>
        </w:rPr>
      </w:pPr>
      <w:r>
        <w:rPr>
          <w:rFonts w:ascii="Times New Roman" w:eastAsiaTheme="majorEastAsia" w:hAnsi="Times New Roman"/>
          <w:sz w:val="24"/>
          <w:szCs w:val="32"/>
        </w:rPr>
        <w:t xml:space="preserve">It’s true. HB49 requires MDE to </w:t>
      </w:r>
      <w:r w:rsidR="005B53CD">
        <w:rPr>
          <w:rFonts w:ascii="Times New Roman" w:eastAsiaTheme="majorEastAsia" w:hAnsi="Times New Roman"/>
          <w:sz w:val="24"/>
          <w:szCs w:val="32"/>
        </w:rPr>
        <w:t>certify</w:t>
      </w:r>
      <w:r>
        <w:rPr>
          <w:rFonts w:ascii="Times New Roman" w:eastAsiaTheme="majorEastAsia" w:hAnsi="Times New Roman"/>
          <w:sz w:val="24"/>
          <w:szCs w:val="32"/>
        </w:rPr>
        <w:t xml:space="preserve"> Montgomery County’s BEPS as an equivalent compliance method</w:t>
      </w:r>
      <w:r w:rsidR="00FB1BB2">
        <w:rPr>
          <w:rFonts w:ascii="Times New Roman" w:eastAsiaTheme="majorEastAsia" w:hAnsi="Times New Roman"/>
          <w:sz w:val="24"/>
          <w:szCs w:val="32"/>
        </w:rPr>
        <w:t xml:space="preserve"> to meeting state BEPS. The net impact: Montgomery County buildings only need to meet Montgomery County BEPS.</w:t>
      </w:r>
    </w:p>
    <w:p w14:paraId="487253FA" w14:textId="77777777" w:rsidR="000E5D08" w:rsidRPr="0036766C" w:rsidRDefault="000E5D08" w:rsidP="00A86545">
      <w:pPr>
        <w:rPr>
          <w:rFonts w:ascii="Times New Roman" w:eastAsiaTheme="majorEastAsia" w:hAnsi="Times New Roman"/>
          <w:sz w:val="24"/>
          <w:szCs w:val="32"/>
        </w:rPr>
      </w:pPr>
    </w:p>
    <w:p w14:paraId="556324F1" w14:textId="07383F36" w:rsidR="00A86545" w:rsidRPr="000A160F" w:rsidRDefault="00A86545" w:rsidP="00A86545">
      <w:pPr>
        <w:pStyle w:val="ListParagraph"/>
        <w:numPr>
          <w:ilvl w:val="0"/>
          <w:numId w:val="13"/>
        </w:numPr>
        <w:rPr>
          <w:rFonts w:ascii="Times New Roman" w:eastAsiaTheme="majorEastAsia" w:hAnsi="Times New Roman"/>
          <w:b/>
          <w:sz w:val="24"/>
          <w:szCs w:val="32"/>
        </w:rPr>
      </w:pPr>
      <w:r w:rsidRPr="000A160F">
        <w:rPr>
          <w:rFonts w:ascii="Times New Roman" w:eastAsiaTheme="majorEastAsia" w:hAnsi="Times New Roman"/>
          <w:b/>
          <w:sz w:val="24"/>
          <w:szCs w:val="32"/>
        </w:rPr>
        <w:t>How do MD BEPS and Montgomery County BEPS overlap?</w:t>
      </w:r>
      <w:r w:rsidR="00D41F2B" w:rsidRPr="000A160F">
        <w:rPr>
          <w:rFonts w:ascii="Times New Roman" w:eastAsiaTheme="majorEastAsia" w:hAnsi="Times New Roman"/>
          <w:b/>
          <w:sz w:val="24"/>
          <w:szCs w:val="32"/>
        </w:rPr>
        <w:t xml:space="preserve"> </w:t>
      </w:r>
      <w:r w:rsidRPr="000A160F">
        <w:rPr>
          <w:rFonts w:ascii="Times New Roman" w:eastAsiaTheme="majorEastAsia" w:hAnsi="Times New Roman"/>
          <w:b/>
          <w:sz w:val="24"/>
          <w:szCs w:val="32"/>
        </w:rPr>
        <w:t xml:space="preserve">If I am compliant in </w:t>
      </w:r>
      <w:proofErr w:type="gramStart"/>
      <w:r w:rsidRPr="000A160F">
        <w:rPr>
          <w:rFonts w:ascii="Times New Roman" w:eastAsiaTheme="majorEastAsia" w:hAnsi="Times New Roman"/>
          <w:b/>
          <w:sz w:val="24"/>
          <w:szCs w:val="32"/>
        </w:rPr>
        <w:t>one</w:t>
      </w:r>
      <w:proofErr w:type="gramEnd"/>
      <w:r w:rsidRPr="000A160F">
        <w:rPr>
          <w:rFonts w:ascii="Times New Roman" w:eastAsiaTheme="majorEastAsia" w:hAnsi="Times New Roman"/>
          <w:b/>
          <w:sz w:val="24"/>
          <w:szCs w:val="32"/>
        </w:rPr>
        <w:t xml:space="preserve"> am I in the other?​</w:t>
      </w:r>
    </w:p>
    <w:p w14:paraId="07CD7937" w14:textId="366E098B" w:rsidR="00F677DF" w:rsidRDefault="00FB1BB2" w:rsidP="00A86545">
      <w:pPr>
        <w:rPr>
          <w:rFonts w:ascii="Times New Roman" w:eastAsiaTheme="majorEastAsia" w:hAnsi="Times New Roman"/>
          <w:sz w:val="24"/>
          <w:szCs w:val="32"/>
        </w:rPr>
      </w:pPr>
      <w:r>
        <w:rPr>
          <w:rFonts w:ascii="Times New Roman" w:eastAsiaTheme="majorEastAsia" w:hAnsi="Times New Roman"/>
          <w:sz w:val="24"/>
          <w:szCs w:val="32"/>
        </w:rPr>
        <w:t xml:space="preserve">They </w:t>
      </w:r>
      <w:r w:rsidR="00A62403">
        <w:rPr>
          <w:rFonts w:ascii="Times New Roman" w:eastAsiaTheme="majorEastAsia" w:hAnsi="Times New Roman"/>
          <w:sz w:val="24"/>
          <w:szCs w:val="32"/>
        </w:rPr>
        <w:t>do not</w:t>
      </w:r>
      <w:r>
        <w:rPr>
          <w:rFonts w:ascii="Times New Roman" w:eastAsiaTheme="majorEastAsia" w:hAnsi="Times New Roman"/>
          <w:sz w:val="24"/>
          <w:szCs w:val="32"/>
        </w:rPr>
        <w:t xml:space="preserve"> overlap</w:t>
      </w:r>
      <w:r w:rsidR="005B53CD">
        <w:rPr>
          <w:rFonts w:ascii="Times New Roman" w:eastAsiaTheme="majorEastAsia" w:hAnsi="Times New Roman"/>
          <w:sz w:val="24"/>
          <w:szCs w:val="32"/>
        </w:rPr>
        <w:t xml:space="preserve">, as noted in the </w:t>
      </w:r>
      <w:r>
        <w:rPr>
          <w:rFonts w:ascii="Times New Roman" w:eastAsiaTheme="majorEastAsia" w:hAnsi="Times New Roman"/>
          <w:sz w:val="24"/>
          <w:szCs w:val="32"/>
        </w:rPr>
        <w:t>previous</w:t>
      </w:r>
      <w:r w:rsidR="00A62403">
        <w:rPr>
          <w:rFonts w:ascii="Times New Roman" w:eastAsiaTheme="majorEastAsia" w:hAnsi="Times New Roman"/>
          <w:sz w:val="24"/>
          <w:szCs w:val="32"/>
        </w:rPr>
        <w:t xml:space="preserve"> answer</w:t>
      </w:r>
      <w:r w:rsidR="004C29E2">
        <w:rPr>
          <w:rFonts w:ascii="Times New Roman" w:eastAsiaTheme="majorEastAsia" w:hAnsi="Times New Roman"/>
          <w:sz w:val="24"/>
          <w:szCs w:val="32"/>
        </w:rPr>
        <w:t xml:space="preserve">. Buildings in Maryland are either subject to Montgomery County BEPS (if </w:t>
      </w:r>
      <w:r w:rsidR="005B53CD">
        <w:rPr>
          <w:rFonts w:ascii="Times New Roman" w:eastAsiaTheme="majorEastAsia" w:hAnsi="Times New Roman"/>
          <w:sz w:val="24"/>
          <w:szCs w:val="32"/>
        </w:rPr>
        <w:t xml:space="preserve">the building </w:t>
      </w:r>
      <w:proofErr w:type="gramStart"/>
      <w:r w:rsidR="005B53CD">
        <w:rPr>
          <w:rFonts w:ascii="Times New Roman" w:eastAsiaTheme="majorEastAsia" w:hAnsi="Times New Roman"/>
          <w:sz w:val="24"/>
          <w:szCs w:val="32"/>
        </w:rPr>
        <w:t>is located</w:t>
      </w:r>
      <w:r w:rsidR="004C29E2">
        <w:rPr>
          <w:rFonts w:ascii="Times New Roman" w:eastAsiaTheme="majorEastAsia" w:hAnsi="Times New Roman"/>
          <w:sz w:val="24"/>
          <w:szCs w:val="32"/>
        </w:rPr>
        <w:t xml:space="preserve"> in</w:t>
      </w:r>
      <w:proofErr w:type="gramEnd"/>
      <w:r w:rsidR="004C29E2">
        <w:rPr>
          <w:rFonts w:ascii="Times New Roman" w:eastAsiaTheme="majorEastAsia" w:hAnsi="Times New Roman"/>
          <w:sz w:val="24"/>
          <w:szCs w:val="32"/>
        </w:rPr>
        <w:t xml:space="preserve"> Montgomery County) or Maryland BEPS (if </w:t>
      </w:r>
      <w:r w:rsidR="005B53CD">
        <w:rPr>
          <w:rFonts w:ascii="Times New Roman" w:eastAsiaTheme="majorEastAsia" w:hAnsi="Times New Roman"/>
          <w:sz w:val="24"/>
          <w:szCs w:val="32"/>
        </w:rPr>
        <w:t xml:space="preserve">the building </w:t>
      </w:r>
      <w:proofErr w:type="gramStart"/>
      <w:r w:rsidR="005B53CD">
        <w:rPr>
          <w:rFonts w:ascii="Times New Roman" w:eastAsiaTheme="majorEastAsia" w:hAnsi="Times New Roman"/>
          <w:sz w:val="24"/>
          <w:szCs w:val="32"/>
        </w:rPr>
        <w:t>is located</w:t>
      </w:r>
      <w:r w:rsidR="004C29E2">
        <w:rPr>
          <w:rFonts w:ascii="Times New Roman" w:eastAsiaTheme="majorEastAsia" w:hAnsi="Times New Roman"/>
          <w:sz w:val="24"/>
          <w:szCs w:val="32"/>
        </w:rPr>
        <w:t xml:space="preserve"> in</w:t>
      </w:r>
      <w:proofErr w:type="gramEnd"/>
      <w:r w:rsidR="004C29E2">
        <w:rPr>
          <w:rFonts w:ascii="Times New Roman" w:eastAsiaTheme="majorEastAsia" w:hAnsi="Times New Roman"/>
          <w:sz w:val="24"/>
          <w:szCs w:val="32"/>
        </w:rPr>
        <w:t xml:space="preserve"> the rest of the state).</w:t>
      </w:r>
    </w:p>
    <w:p w14:paraId="60B78D79" w14:textId="77777777" w:rsidR="00FB1BB2" w:rsidRPr="0036766C" w:rsidRDefault="00FB1BB2" w:rsidP="00A86545">
      <w:pPr>
        <w:rPr>
          <w:rFonts w:ascii="Times New Roman" w:eastAsiaTheme="majorEastAsia" w:hAnsi="Times New Roman"/>
          <w:sz w:val="24"/>
          <w:szCs w:val="32"/>
        </w:rPr>
      </w:pPr>
    </w:p>
    <w:p w14:paraId="578D02D9" w14:textId="699D903E" w:rsidR="00A86545" w:rsidRPr="000A160F" w:rsidRDefault="00A86545" w:rsidP="00D41F2B">
      <w:pPr>
        <w:pStyle w:val="ListParagraph"/>
        <w:numPr>
          <w:ilvl w:val="0"/>
          <w:numId w:val="13"/>
        </w:numPr>
        <w:rPr>
          <w:rFonts w:ascii="Times New Roman" w:eastAsiaTheme="majorEastAsia" w:hAnsi="Times New Roman"/>
          <w:b/>
          <w:sz w:val="24"/>
          <w:szCs w:val="32"/>
        </w:rPr>
      </w:pPr>
      <w:r w:rsidRPr="000A160F">
        <w:rPr>
          <w:rFonts w:ascii="Times New Roman" w:eastAsiaTheme="majorEastAsia" w:hAnsi="Times New Roman"/>
          <w:b/>
          <w:sz w:val="24"/>
          <w:szCs w:val="32"/>
        </w:rPr>
        <w:t>What is [the] final [state BEPS] law and how does it relate to Montgomery County?</w:t>
      </w:r>
    </w:p>
    <w:p w14:paraId="39B10807" w14:textId="1BA1F562" w:rsidR="00C54DC1" w:rsidRDefault="00C54DC1" w:rsidP="00C54DC1">
      <w:pPr>
        <w:rPr>
          <w:rFonts w:ascii="Times New Roman" w:eastAsiaTheme="majorEastAsia" w:hAnsi="Times New Roman"/>
          <w:sz w:val="24"/>
          <w:szCs w:val="32"/>
        </w:rPr>
      </w:pPr>
      <w:r>
        <w:rPr>
          <w:rFonts w:ascii="Times New Roman" w:eastAsiaTheme="majorEastAsia" w:hAnsi="Times New Roman"/>
          <w:sz w:val="24"/>
          <w:szCs w:val="32"/>
        </w:rPr>
        <w:lastRenderedPageBreak/>
        <w:t xml:space="preserve">As mentioned in the presentation, </w:t>
      </w:r>
      <w:r w:rsidR="00525C15">
        <w:rPr>
          <w:rFonts w:ascii="Times New Roman" w:eastAsiaTheme="majorEastAsia" w:hAnsi="Times New Roman"/>
          <w:sz w:val="24"/>
          <w:szCs w:val="32"/>
        </w:rPr>
        <w:t>AOBA</w:t>
      </w:r>
      <w:r>
        <w:rPr>
          <w:rFonts w:ascii="Times New Roman" w:eastAsiaTheme="majorEastAsia" w:hAnsi="Times New Roman"/>
          <w:sz w:val="24"/>
          <w:szCs w:val="32"/>
        </w:rPr>
        <w:t xml:space="preserve"> expect</w:t>
      </w:r>
      <w:r w:rsidR="00525C15">
        <w:rPr>
          <w:rFonts w:ascii="Times New Roman" w:eastAsiaTheme="majorEastAsia" w:hAnsi="Times New Roman"/>
          <w:sz w:val="24"/>
          <w:szCs w:val="32"/>
        </w:rPr>
        <w:t>s</w:t>
      </w:r>
      <w:r>
        <w:rPr>
          <w:rFonts w:ascii="Times New Roman" w:eastAsiaTheme="majorEastAsia" w:hAnsi="Times New Roman"/>
          <w:sz w:val="24"/>
          <w:szCs w:val="32"/>
        </w:rPr>
        <w:t xml:space="preserve"> </w:t>
      </w:r>
      <w:r w:rsidR="00525C15">
        <w:rPr>
          <w:rFonts w:ascii="Times New Roman" w:eastAsiaTheme="majorEastAsia" w:hAnsi="Times New Roman"/>
          <w:sz w:val="24"/>
          <w:szCs w:val="32"/>
        </w:rPr>
        <w:t>additional</w:t>
      </w:r>
      <w:r>
        <w:rPr>
          <w:rFonts w:ascii="Times New Roman" w:eastAsiaTheme="majorEastAsia" w:hAnsi="Times New Roman"/>
          <w:sz w:val="24"/>
          <w:szCs w:val="32"/>
        </w:rPr>
        <w:t xml:space="preserve"> legislation in 2027 </w:t>
      </w:r>
      <w:r w:rsidR="00A71746">
        <w:rPr>
          <w:rFonts w:ascii="Times New Roman" w:eastAsiaTheme="majorEastAsia" w:hAnsi="Times New Roman"/>
          <w:sz w:val="24"/>
          <w:szCs w:val="32"/>
        </w:rPr>
        <w:t xml:space="preserve">around Maryland BEPS. </w:t>
      </w:r>
      <w:r w:rsidR="00A62403">
        <w:rPr>
          <w:rFonts w:ascii="Times New Roman" w:eastAsiaTheme="majorEastAsia" w:hAnsi="Times New Roman"/>
          <w:sz w:val="24"/>
          <w:szCs w:val="32"/>
        </w:rPr>
        <w:t xml:space="preserve">At this time, </w:t>
      </w:r>
      <w:r w:rsidR="00525C15">
        <w:rPr>
          <w:rFonts w:ascii="Times New Roman" w:eastAsiaTheme="majorEastAsia" w:hAnsi="Times New Roman"/>
          <w:sz w:val="24"/>
          <w:szCs w:val="32"/>
        </w:rPr>
        <w:t>AOBA</w:t>
      </w:r>
      <w:r w:rsidR="00A62403">
        <w:rPr>
          <w:rFonts w:ascii="Times New Roman" w:eastAsiaTheme="majorEastAsia" w:hAnsi="Times New Roman"/>
          <w:sz w:val="24"/>
          <w:szCs w:val="32"/>
        </w:rPr>
        <w:t xml:space="preserve"> do</w:t>
      </w:r>
      <w:r w:rsidR="00525C15">
        <w:rPr>
          <w:rFonts w:ascii="Times New Roman" w:eastAsiaTheme="majorEastAsia" w:hAnsi="Times New Roman"/>
          <w:sz w:val="24"/>
          <w:szCs w:val="32"/>
        </w:rPr>
        <w:t>es</w:t>
      </w:r>
      <w:r w:rsidR="00A62403">
        <w:rPr>
          <w:rFonts w:ascii="Times New Roman" w:eastAsiaTheme="majorEastAsia" w:hAnsi="Times New Roman"/>
          <w:sz w:val="24"/>
          <w:szCs w:val="32"/>
        </w:rPr>
        <w:t xml:space="preserve"> not </w:t>
      </w:r>
      <w:r w:rsidR="00A71746">
        <w:rPr>
          <w:rFonts w:ascii="Times New Roman" w:eastAsiaTheme="majorEastAsia" w:hAnsi="Times New Roman"/>
          <w:sz w:val="24"/>
          <w:szCs w:val="32"/>
        </w:rPr>
        <w:t xml:space="preserve">know the </w:t>
      </w:r>
      <w:r w:rsidR="00A62403">
        <w:rPr>
          <w:rFonts w:ascii="Times New Roman" w:eastAsiaTheme="majorEastAsia" w:hAnsi="Times New Roman"/>
          <w:sz w:val="24"/>
          <w:szCs w:val="32"/>
        </w:rPr>
        <w:t xml:space="preserve">final </w:t>
      </w:r>
      <w:r w:rsidR="00A71746">
        <w:rPr>
          <w:rFonts w:ascii="Times New Roman" w:eastAsiaTheme="majorEastAsia" w:hAnsi="Times New Roman"/>
          <w:sz w:val="24"/>
          <w:szCs w:val="32"/>
        </w:rPr>
        <w:t>shape of what Maryland BEPS will look like at the state level.</w:t>
      </w:r>
      <w:r w:rsidR="00A62403">
        <w:rPr>
          <w:rFonts w:ascii="Times New Roman" w:eastAsiaTheme="majorEastAsia" w:hAnsi="Times New Roman"/>
          <w:sz w:val="24"/>
          <w:szCs w:val="32"/>
        </w:rPr>
        <w:t xml:space="preserve"> This would not be </w:t>
      </w:r>
      <w:proofErr w:type="gramStart"/>
      <w:r w:rsidR="00A62403">
        <w:rPr>
          <w:rFonts w:ascii="Times New Roman" w:eastAsiaTheme="majorEastAsia" w:hAnsi="Times New Roman"/>
          <w:sz w:val="24"/>
          <w:szCs w:val="32"/>
        </w:rPr>
        <w:t>really obvious</w:t>
      </w:r>
      <w:proofErr w:type="gramEnd"/>
      <w:r w:rsidR="00A62403">
        <w:rPr>
          <w:rFonts w:ascii="Times New Roman" w:eastAsiaTheme="majorEastAsia" w:hAnsi="Times New Roman"/>
          <w:sz w:val="24"/>
          <w:szCs w:val="32"/>
        </w:rPr>
        <w:t xml:space="preserve"> until updated regulations are issued, likely in 2027 or 2028.</w:t>
      </w:r>
    </w:p>
    <w:p w14:paraId="628B049A" w14:textId="77777777" w:rsidR="00A71746" w:rsidRDefault="00A71746" w:rsidP="00C54DC1">
      <w:pPr>
        <w:rPr>
          <w:rFonts w:ascii="Times New Roman" w:eastAsiaTheme="majorEastAsia" w:hAnsi="Times New Roman"/>
          <w:sz w:val="24"/>
          <w:szCs w:val="32"/>
        </w:rPr>
      </w:pPr>
    </w:p>
    <w:p w14:paraId="4DD5BBC5" w14:textId="25D92043" w:rsidR="00A71746" w:rsidRPr="00C54DC1" w:rsidRDefault="00A71746" w:rsidP="00C54DC1">
      <w:pPr>
        <w:rPr>
          <w:rFonts w:ascii="Times New Roman" w:eastAsiaTheme="majorEastAsia" w:hAnsi="Times New Roman"/>
          <w:sz w:val="24"/>
          <w:szCs w:val="32"/>
        </w:rPr>
      </w:pPr>
      <w:r>
        <w:rPr>
          <w:rFonts w:ascii="Times New Roman" w:eastAsiaTheme="majorEastAsia" w:hAnsi="Times New Roman"/>
          <w:sz w:val="24"/>
          <w:szCs w:val="32"/>
        </w:rPr>
        <w:t xml:space="preserve">However, </w:t>
      </w:r>
      <w:r w:rsidR="00525C15">
        <w:rPr>
          <w:rFonts w:ascii="Times New Roman" w:eastAsiaTheme="majorEastAsia" w:hAnsi="Times New Roman"/>
          <w:sz w:val="24"/>
          <w:szCs w:val="32"/>
        </w:rPr>
        <w:t>AOBA expects</w:t>
      </w:r>
      <w:r>
        <w:rPr>
          <w:rFonts w:ascii="Times New Roman" w:eastAsiaTheme="majorEastAsia" w:hAnsi="Times New Roman"/>
          <w:sz w:val="24"/>
          <w:szCs w:val="32"/>
        </w:rPr>
        <w:t xml:space="preserve"> the provi</w:t>
      </w:r>
      <w:r w:rsidR="008F6030">
        <w:rPr>
          <w:rFonts w:ascii="Times New Roman" w:eastAsiaTheme="majorEastAsia" w:hAnsi="Times New Roman"/>
          <w:sz w:val="24"/>
          <w:szCs w:val="32"/>
        </w:rPr>
        <w:t xml:space="preserve">sion in HB49 that exempts Montgomery County from Maryland BEPS to persist. This was a uniformly agreed-upon </w:t>
      </w:r>
      <w:r w:rsidR="00C30D75">
        <w:rPr>
          <w:rFonts w:ascii="Times New Roman" w:eastAsiaTheme="majorEastAsia" w:hAnsi="Times New Roman"/>
          <w:sz w:val="24"/>
          <w:szCs w:val="32"/>
        </w:rPr>
        <w:t>priority across interested parties and legislators in the 2025 session.</w:t>
      </w:r>
    </w:p>
    <w:p w14:paraId="4BE5C37D" w14:textId="77777777" w:rsidR="000A160F" w:rsidRPr="00C54DC1" w:rsidRDefault="000A160F" w:rsidP="00C54DC1">
      <w:pPr>
        <w:rPr>
          <w:rFonts w:ascii="Times New Roman" w:eastAsiaTheme="majorEastAsia" w:hAnsi="Times New Roman"/>
          <w:sz w:val="24"/>
          <w:szCs w:val="32"/>
        </w:rPr>
      </w:pPr>
    </w:p>
    <w:p w14:paraId="58999640" w14:textId="0FB73075" w:rsidR="00A62403" w:rsidRPr="000A160F" w:rsidRDefault="00A62403" w:rsidP="000552A4">
      <w:pPr>
        <w:pStyle w:val="ListParagraph"/>
        <w:numPr>
          <w:ilvl w:val="0"/>
          <w:numId w:val="13"/>
        </w:numPr>
        <w:rPr>
          <w:rFonts w:ascii="Times New Roman" w:hAnsi="Times New Roman"/>
          <w:b/>
          <w:bCs/>
          <w:sz w:val="24"/>
        </w:rPr>
      </w:pPr>
      <w:r w:rsidRPr="00F03662">
        <w:rPr>
          <w:rFonts w:ascii="Times New Roman" w:hAnsi="Times New Roman"/>
          <w:b/>
          <w:bCs/>
          <w:sz w:val="24"/>
        </w:rPr>
        <w:t>When will State regulations be finalized and what is the enforcement mechanism?</w:t>
      </w:r>
    </w:p>
    <w:p w14:paraId="1725EF2B" w14:textId="77777777" w:rsidR="00A62403" w:rsidRPr="00D622FB" w:rsidRDefault="00A62403" w:rsidP="00E123AF">
      <w:pPr>
        <w:rPr>
          <w:rFonts w:ascii="Times New Roman" w:hAnsi="Times New Roman"/>
          <w:sz w:val="24"/>
        </w:rPr>
      </w:pPr>
    </w:p>
    <w:p w14:paraId="6843C68F" w14:textId="77777777" w:rsidR="00913AC5" w:rsidRDefault="00A62403" w:rsidP="00E123AF">
      <w:pPr>
        <w:rPr>
          <w:rFonts w:ascii="Times New Roman" w:hAnsi="Times New Roman"/>
          <w:sz w:val="24"/>
        </w:rPr>
      </w:pPr>
      <w:r w:rsidRPr="00D622FB">
        <w:rPr>
          <w:rFonts w:ascii="Times New Roman" w:hAnsi="Times New Roman"/>
          <w:sz w:val="24"/>
        </w:rPr>
        <w:t xml:space="preserve">Based on the study schedule, </w:t>
      </w:r>
      <w:r w:rsidR="00913AC5">
        <w:rPr>
          <w:rFonts w:ascii="Times New Roman" w:hAnsi="Times New Roman"/>
          <w:sz w:val="24"/>
        </w:rPr>
        <w:t>AOBA</w:t>
      </w:r>
      <w:r w:rsidRPr="00D622FB">
        <w:rPr>
          <w:rFonts w:ascii="Times New Roman" w:hAnsi="Times New Roman"/>
          <w:sz w:val="24"/>
        </w:rPr>
        <w:t xml:space="preserve"> </w:t>
      </w:r>
      <w:r w:rsidR="00913AC5">
        <w:rPr>
          <w:rFonts w:ascii="Times New Roman" w:hAnsi="Times New Roman"/>
          <w:sz w:val="24"/>
        </w:rPr>
        <w:t xml:space="preserve">expects </w:t>
      </w:r>
      <w:r w:rsidRPr="00D622FB">
        <w:rPr>
          <w:rFonts w:ascii="Times New Roman" w:hAnsi="Times New Roman"/>
          <w:sz w:val="24"/>
        </w:rPr>
        <w:t xml:space="preserve">legislative action in 2027 (resulting from the study) that may in turn prompt a regulatory update. That regulatory update could be </w:t>
      </w:r>
      <w:proofErr w:type="gramStart"/>
      <w:r w:rsidRPr="00D622FB">
        <w:rPr>
          <w:rFonts w:ascii="Times New Roman" w:hAnsi="Times New Roman"/>
          <w:sz w:val="24"/>
        </w:rPr>
        <w:t>in</w:t>
      </w:r>
      <w:proofErr w:type="gramEnd"/>
      <w:r w:rsidRPr="00D622FB">
        <w:rPr>
          <w:rFonts w:ascii="Times New Roman" w:hAnsi="Times New Roman"/>
          <w:sz w:val="24"/>
        </w:rPr>
        <w:t xml:space="preserve"> the end of 2027 or 2028.</w:t>
      </w:r>
    </w:p>
    <w:p w14:paraId="318F89E3" w14:textId="77777777" w:rsidR="00913AC5" w:rsidRDefault="00913AC5" w:rsidP="00E123AF">
      <w:pPr>
        <w:rPr>
          <w:rFonts w:ascii="Times New Roman" w:hAnsi="Times New Roman"/>
          <w:sz w:val="24"/>
        </w:rPr>
      </w:pPr>
    </w:p>
    <w:p w14:paraId="2554F6E6" w14:textId="51A8851F" w:rsidR="00A62403" w:rsidRPr="00F03662" w:rsidRDefault="00A62403" w:rsidP="00E123AF">
      <w:pPr>
        <w:rPr>
          <w:rFonts w:ascii="Times New Roman" w:hAnsi="Times New Roman"/>
          <w:sz w:val="24"/>
        </w:rPr>
      </w:pPr>
      <w:r w:rsidRPr="00D622FB">
        <w:rPr>
          <w:rFonts w:ascii="Times New Roman" w:hAnsi="Times New Roman"/>
          <w:sz w:val="24"/>
        </w:rPr>
        <w:t>As for enforcement mechanisms</w:t>
      </w:r>
      <w:r w:rsidR="00913AC5">
        <w:rPr>
          <w:rFonts w:ascii="Times New Roman" w:hAnsi="Times New Roman"/>
          <w:sz w:val="24"/>
        </w:rPr>
        <w:t xml:space="preserve"> around State BEPS</w:t>
      </w:r>
      <w:r w:rsidRPr="00D622FB">
        <w:rPr>
          <w:rFonts w:ascii="Times New Roman" w:hAnsi="Times New Roman"/>
          <w:sz w:val="24"/>
        </w:rPr>
        <w:t xml:space="preserve">: </w:t>
      </w:r>
      <w:r w:rsidR="00913AC5">
        <w:rPr>
          <w:rFonts w:ascii="Times New Roman" w:hAnsi="Times New Roman"/>
          <w:sz w:val="24"/>
        </w:rPr>
        <w:t>AOBA is</w:t>
      </w:r>
      <w:r w:rsidRPr="00D622FB">
        <w:rPr>
          <w:rFonts w:ascii="Times New Roman" w:hAnsi="Times New Roman"/>
          <w:sz w:val="24"/>
        </w:rPr>
        <w:t xml:space="preserve"> not sure yet. </w:t>
      </w:r>
      <w:r w:rsidR="00BF0403">
        <w:rPr>
          <w:rFonts w:ascii="Times New Roman" w:hAnsi="Times New Roman"/>
          <w:sz w:val="24"/>
        </w:rPr>
        <w:t xml:space="preserve">AOBA </w:t>
      </w:r>
      <w:proofErr w:type="gramStart"/>
      <w:r w:rsidRPr="00D622FB">
        <w:rPr>
          <w:rFonts w:ascii="Times New Roman" w:hAnsi="Times New Roman"/>
          <w:sz w:val="24"/>
        </w:rPr>
        <w:t>know</w:t>
      </w:r>
      <w:r w:rsidR="00BF0403">
        <w:rPr>
          <w:rFonts w:ascii="Times New Roman" w:hAnsi="Times New Roman"/>
          <w:sz w:val="24"/>
        </w:rPr>
        <w:t>s</w:t>
      </w:r>
      <w:r w:rsidR="00913AC5">
        <w:rPr>
          <w:rFonts w:ascii="Times New Roman" w:hAnsi="Times New Roman"/>
          <w:sz w:val="24"/>
        </w:rPr>
        <w:t xml:space="preserve"> is</w:t>
      </w:r>
      <w:proofErr w:type="gramEnd"/>
      <w:r w:rsidR="00913AC5">
        <w:rPr>
          <w:rFonts w:ascii="Times New Roman" w:hAnsi="Times New Roman"/>
          <w:sz w:val="24"/>
        </w:rPr>
        <w:t xml:space="preserve"> there is</w:t>
      </w:r>
      <w:r w:rsidRPr="00D622FB">
        <w:rPr>
          <w:rFonts w:ascii="Times New Roman" w:hAnsi="Times New Roman"/>
          <w:sz w:val="24"/>
        </w:rPr>
        <w:t xml:space="preserve"> an alternative compliance fee mechanism for net direct emissions (and could rationalize one in the future for site EUI</w:t>
      </w:r>
      <w:r w:rsidR="00913AC5">
        <w:rPr>
          <w:rFonts w:ascii="Times New Roman" w:hAnsi="Times New Roman"/>
          <w:sz w:val="24"/>
        </w:rPr>
        <w:t xml:space="preserve"> should site EUI regulations successfully promulgate </w:t>
      </w:r>
      <w:r w:rsidRPr="00D622FB">
        <w:rPr>
          <w:rFonts w:ascii="Times New Roman" w:hAnsi="Times New Roman"/>
          <w:sz w:val="24"/>
        </w:rPr>
        <w:t>based on the study)</w:t>
      </w:r>
      <w:r w:rsidR="00BF0403">
        <w:rPr>
          <w:rFonts w:ascii="Times New Roman" w:hAnsi="Times New Roman"/>
          <w:sz w:val="24"/>
        </w:rPr>
        <w:t xml:space="preserve"> which appears to be a </w:t>
      </w:r>
      <w:r w:rsidR="00176E96">
        <w:rPr>
          <w:rFonts w:ascii="Times New Roman" w:hAnsi="Times New Roman"/>
          <w:sz w:val="24"/>
        </w:rPr>
        <w:t>meaningful alternative compliance fee approach.</w:t>
      </w:r>
      <w:r w:rsidR="00913AC5">
        <w:rPr>
          <w:rFonts w:ascii="Times New Roman" w:hAnsi="Times New Roman"/>
          <w:sz w:val="24"/>
        </w:rPr>
        <w:t xml:space="preserve"> </w:t>
      </w:r>
      <w:r w:rsidRPr="00D622FB">
        <w:rPr>
          <w:rFonts w:ascii="Times New Roman" w:hAnsi="Times New Roman"/>
          <w:sz w:val="24"/>
        </w:rPr>
        <w:t>There</w:t>
      </w:r>
      <w:r w:rsidR="00913AC5">
        <w:rPr>
          <w:rFonts w:ascii="Times New Roman" w:hAnsi="Times New Roman"/>
          <w:sz w:val="24"/>
        </w:rPr>
        <w:t xml:space="preserve"> is</w:t>
      </w:r>
      <w:r w:rsidRPr="00D622FB">
        <w:rPr>
          <w:rFonts w:ascii="Times New Roman" w:hAnsi="Times New Roman"/>
          <w:sz w:val="24"/>
        </w:rPr>
        <w:t xml:space="preserve"> also a separate enforcement mechanism under </w:t>
      </w:r>
      <w:hyperlink r:id="rId8" w:history="1">
        <w:r w:rsidRPr="00BF0403">
          <w:rPr>
            <w:rStyle w:val="Hyperlink"/>
            <w:rFonts w:ascii="Times New Roman" w:hAnsi="Times New Roman"/>
            <w:sz w:val="24"/>
          </w:rPr>
          <w:t>§2-610</w:t>
        </w:r>
      </w:hyperlink>
      <w:r w:rsidRPr="00D622FB">
        <w:rPr>
          <w:rFonts w:ascii="Times New Roman" w:hAnsi="Times New Roman"/>
          <w:sz w:val="24"/>
        </w:rPr>
        <w:t xml:space="preserve"> of the Maryland Environmental code that may function as a fallback. </w:t>
      </w:r>
      <w:r w:rsidR="009B1F51">
        <w:rPr>
          <w:rFonts w:ascii="Times New Roman" w:hAnsi="Times New Roman"/>
          <w:sz w:val="24"/>
        </w:rPr>
        <w:t>AOBA is</w:t>
      </w:r>
      <w:r w:rsidR="00913AC5">
        <w:rPr>
          <w:rFonts w:ascii="Times New Roman" w:hAnsi="Times New Roman"/>
          <w:sz w:val="24"/>
        </w:rPr>
        <w:t xml:space="preserve"> not</w:t>
      </w:r>
      <w:r w:rsidRPr="00D622FB">
        <w:rPr>
          <w:rFonts w:ascii="Times New Roman" w:hAnsi="Times New Roman"/>
          <w:sz w:val="24"/>
        </w:rPr>
        <w:t xml:space="preserve"> sure at this point how </w:t>
      </w:r>
      <w:r w:rsidR="00913AC5">
        <w:rPr>
          <w:rFonts w:ascii="Times New Roman" w:hAnsi="Times New Roman"/>
          <w:sz w:val="24"/>
        </w:rPr>
        <w:t xml:space="preserve">enforcement under </w:t>
      </w:r>
      <w:r w:rsidR="00BF0403">
        <w:rPr>
          <w:rFonts w:ascii="Times New Roman" w:hAnsi="Times New Roman"/>
          <w:sz w:val="24"/>
        </w:rPr>
        <w:t>§</w:t>
      </w:r>
      <w:r w:rsidR="00913AC5">
        <w:rPr>
          <w:rFonts w:ascii="Times New Roman" w:hAnsi="Times New Roman"/>
          <w:sz w:val="24"/>
        </w:rPr>
        <w:t>2-610 would work</w:t>
      </w:r>
      <w:r w:rsidRPr="00D622FB">
        <w:rPr>
          <w:rFonts w:ascii="Times New Roman" w:hAnsi="Times New Roman"/>
          <w:sz w:val="24"/>
        </w:rPr>
        <w:t xml:space="preserve">, but between §2-610 and </w:t>
      </w:r>
      <w:hyperlink r:id="rId9" w:history="1">
        <w:r w:rsidRPr="00BF0403">
          <w:rPr>
            <w:rStyle w:val="Hyperlink"/>
            <w:rFonts w:ascii="Times New Roman" w:hAnsi="Times New Roman"/>
            <w:sz w:val="24"/>
          </w:rPr>
          <w:t>§2-610.1</w:t>
        </w:r>
      </w:hyperlink>
      <w:r w:rsidRPr="00D622FB">
        <w:rPr>
          <w:rFonts w:ascii="Times New Roman" w:hAnsi="Times New Roman"/>
          <w:sz w:val="24"/>
        </w:rPr>
        <w:t xml:space="preserve"> there is a rather extensive process.</w:t>
      </w:r>
    </w:p>
    <w:p w14:paraId="4790AAD3" w14:textId="77777777" w:rsidR="00A62403" w:rsidRPr="00C67313" w:rsidRDefault="00A62403" w:rsidP="00E123AF"/>
    <w:p w14:paraId="725F969F" w14:textId="50451D37" w:rsidR="00F03662" w:rsidRPr="000A160F" w:rsidRDefault="00F03662" w:rsidP="000552A4">
      <w:pPr>
        <w:pStyle w:val="ListParagraph"/>
        <w:numPr>
          <w:ilvl w:val="0"/>
          <w:numId w:val="13"/>
        </w:numPr>
        <w:spacing w:after="0"/>
        <w:rPr>
          <w:rFonts w:ascii="Times New Roman" w:hAnsi="Times New Roman"/>
          <w:b/>
          <w:bCs/>
          <w:sz w:val="24"/>
          <w:szCs w:val="24"/>
        </w:rPr>
      </w:pPr>
      <w:r w:rsidRPr="000A160F">
        <w:rPr>
          <w:rFonts w:ascii="Times New Roman" w:hAnsi="Times New Roman"/>
          <w:b/>
          <w:bCs/>
          <w:sz w:val="24"/>
          <w:szCs w:val="24"/>
        </w:rPr>
        <w:t>What is the guidance for buildings that are not currently on the covered building list, but that may qualify under the program?</w:t>
      </w:r>
    </w:p>
    <w:p w14:paraId="6C1DAE57" w14:textId="77777777" w:rsidR="00F03662" w:rsidRPr="00D622FB" w:rsidRDefault="00F03662" w:rsidP="00556CC5">
      <w:pPr>
        <w:rPr>
          <w:rFonts w:ascii="Times New Roman" w:hAnsi="Times New Roman"/>
          <w:sz w:val="24"/>
        </w:rPr>
      </w:pPr>
    </w:p>
    <w:p w14:paraId="6D97AF3F" w14:textId="1C812F94" w:rsidR="0075759A" w:rsidRPr="00556CC5" w:rsidRDefault="00913AC5" w:rsidP="00D622FB">
      <w:pPr>
        <w:rPr>
          <w:rFonts w:ascii="Times New Roman" w:hAnsi="Times New Roman"/>
          <w:sz w:val="24"/>
        </w:rPr>
      </w:pPr>
      <w:r>
        <w:rPr>
          <w:rFonts w:ascii="Times New Roman" w:hAnsi="Times New Roman"/>
          <w:sz w:val="24"/>
        </w:rPr>
        <w:t xml:space="preserve">AOBA suggests </w:t>
      </w:r>
      <w:r w:rsidR="00556CC5" w:rsidRPr="00556CC5">
        <w:rPr>
          <w:rFonts w:ascii="Times New Roman" w:hAnsi="Times New Roman"/>
          <w:sz w:val="24"/>
        </w:rPr>
        <w:t xml:space="preserve">reviewing </w:t>
      </w:r>
      <w:proofErr w:type="gramStart"/>
      <w:r w:rsidR="00556CC5" w:rsidRPr="00556CC5">
        <w:rPr>
          <w:rFonts w:ascii="Times New Roman" w:hAnsi="Times New Roman"/>
          <w:sz w:val="24"/>
        </w:rPr>
        <w:t>the Prince</w:t>
      </w:r>
      <w:proofErr w:type="gramEnd"/>
      <w:r w:rsidR="00556CC5" w:rsidRPr="00556CC5">
        <w:rPr>
          <w:rFonts w:ascii="Times New Roman" w:hAnsi="Times New Roman"/>
          <w:sz w:val="24"/>
        </w:rPr>
        <w:t xml:space="preserve"> George’s County resource to answer this question in detail, but the short answer for Maryland BEPS: MDE’s building list appears to be incomplete</w:t>
      </w:r>
      <w:r w:rsidR="0075759A">
        <w:rPr>
          <w:rFonts w:ascii="Times New Roman" w:hAnsi="Times New Roman"/>
          <w:sz w:val="24"/>
        </w:rPr>
        <w:t>. AOBA</w:t>
      </w:r>
      <w:r w:rsidR="00556CC5" w:rsidRPr="00556CC5">
        <w:rPr>
          <w:rFonts w:ascii="Times New Roman" w:hAnsi="Times New Roman"/>
          <w:sz w:val="24"/>
        </w:rPr>
        <w:t xml:space="preserve"> recommend</w:t>
      </w:r>
      <w:r w:rsidR="0075759A">
        <w:rPr>
          <w:rFonts w:ascii="Times New Roman" w:hAnsi="Times New Roman"/>
          <w:sz w:val="24"/>
        </w:rPr>
        <w:t>s</w:t>
      </w:r>
      <w:r w:rsidR="00556CC5" w:rsidRPr="00556CC5">
        <w:rPr>
          <w:rFonts w:ascii="Times New Roman" w:hAnsi="Times New Roman"/>
          <w:sz w:val="24"/>
        </w:rPr>
        <w:t xml:space="preserve"> starting with your own property list, determining what buildings do and </w:t>
      </w:r>
      <w:r w:rsidR="0075759A">
        <w:rPr>
          <w:rFonts w:ascii="Times New Roman" w:hAnsi="Times New Roman"/>
          <w:sz w:val="24"/>
        </w:rPr>
        <w:t>do not</w:t>
      </w:r>
      <w:r w:rsidR="00556CC5" w:rsidRPr="00556CC5">
        <w:rPr>
          <w:rFonts w:ascii="Times New Roman" w:hAnsi="Times New Roman"/>
          <w:sz w:val="24"/>
        </w:rPr>
        <w:t xml:space="preserve"> meet the </w:t>
      </w:r>
      <w:r w:rsidR="0075759A">
        <w:rPr>
          <w:rFonts w:ascii="Times New Roman" w:hAnsi="Times New Roman"/>
          <w:sz w:val="24"/>
        </w:rPr>
        <w:t>gross floor area</w:t>
      </w:r>
      <w:r w:rsidR="00556CC5" w:rsidRPr="00556CC5">
        <w:rPr>
          <w:rFonts w:ascii="Times New Roman" w:hAnsi="Times New Roman"/>
          <w:sz w:val="24"/>
        </w:rPr>
        <w:t xml:space="preserve"> threshold</w:t>
      </w:r>
      <w:r w:rsidR="0075759A">
        <w:rPr>
          <w:rFonts w:ascii="Times New Roman" w:hAnsi="Times New Roman"/>
          <w:sz w:val="24"/>
        </w:rPr>
        <w:t xml:space="preserve"> of 35,000 square feet</w:t>
      </w:r>
      <w:r w:rsidR="00556CC5" w:rsidRPr="00556CC5">
        <w:rPr>
          <w:rFonts w:ascii="Times New Roman" w:hAnsi="Times New Roman"/>
          <w:sz w:val="24"/>
        </w:rPr>
        <w:t xml:space="preserve">, then checking the MD BEPS Portal and either submitting exemption requests or requesting unique building IDs. If you need </w:t>
      </w:r>
      <w:proofErr w:type="gramStart"/>
      <w:r w:rsidR="00556CC5" w:rsidRPr="00556CC5">
        <w:rPr>
          <w:rFonts w:ascii="Times New Roman" w:hAnsi="Times New Roman"/>
          <w:sz w:val="24"/>
        </w:rPr>
        <w:t>aggregate</w:t>
      </w:r>
      <w:proofErr w:type="gramEnd"/>
      <w:r w:rsidR="00556CC5" w:rsidRPr="00556CC5">
        <w:rPr>
          <w:rFonts w:ascii="Times New Roman" w:hAnsi="Times New Roman"/>
          <w:sz w:val="24"/>
        </w:rPr>
        <w:t xml:space="preserve"> data, </w:t>
      </w:r>
      <w:r w:rsidR="0075759A">
        <w:rPr>
          <w:rFonts w:ascii="Times New Roman" w:hAnsi="Times New Roman"/>
          <w:sz w:val="24"/>
        </w:rPr>
        <w:t>this is the most</w:t>
      </w:r>
      <w:r w:rsidR="00556CC5" w:rsidRPr="00556CC5">
        <w:rPr>
          <w:rFonts w:ascii="Times New Roman" w:hAnsi="Times New Roman"/>
          <w:sz w:val="24"/>
        </w:rPr>
        <w:t xml:space="preserve"> time-sensitive item</w:t>
      </w:r>
      <w:r w:rsidR="0075759A">
        <w:rPr>
          <w:rFonts w:ascii="Times New Roman" w:hAnsi="Times New Roman"/>
          <w:sz w:val="24"/>
        </w:rPr>
        <w:t xml:space="preserve"> as utilities </w:t>
      </w:r>
      <w:proofErr w:type="gramStart"/>
      <w:r w:rsidR="0075759A">
        <w:rPr>
          <w:rFonts w:ascii="Times New Roman" w:hAnsi="Times New Roman"/>
          <w:sz w:val="24"/>
        </w:rPr>
        <w:t>are</w:t>
      </w:r>
      <w:proofErr w:type="gramEnd"/>
      <w:r w:rsidR="0075759A">
        <w:rPr>
          <w:rFonts w:ascii="Times New Roman" w:hAnsi="Times New Roman"/>
          <w:sz w:val="24"/>
        </w:rPr>
        <w:t xml:space="preserve"> allowed 90 days to respond to aggregate meter data requests in 2025. (This </w:t>
      </w:r>
      <w:proofErr w:type="gramStart"/>
      <w:r w:rsidR="0075759A">
        <w:rPr>
          <w:rFonts w:ascii="Times New Roman" w:hAnsi="Times New Roman"/>
          <w:sz w:val="24"/>
        </w:rPr>
        <w:t>time period</w:t>
      </w:r>
      <w:proofErr w:type="gramEnd"/>
      <w:r w:rsidR="0075759A">
        <w:rPr>
          <w:rFonts w:ascii="Times New Roman" w:hAnsi="Times New Roman"/>
          <w:sz w:val="24"/>
        </w:rPr>
        <w:t xml:space="preserve"> reduces to 30 days in 2026 and beyond.)</w:t>
      </w:r>
    </w:p>
    <w:p w14:paraId="6EDD63FA" w14:textId="77777777" w:rsidR="00F03662" w:rsidRPr="00F03662" w:rsidRDefault="00F03662" w:rsidP="00556CC5">
      <w:pPr>
        <w:rPr>
          <w:rFonts w:ascii="Times New Roman" w:hAnsi="Times New Roman"/>
          <w:sz w:val="24"/>
        </w:rPr>
      </w:pPr>
    </w:p>
    <w:p w14:paraId="582243E0" w14:textId="77777777" w:rsidR="00F03662" w:rsidRPr="000A160F" w:rsidRDefault="00F03662" w:rsidP="000552A4">
      <w:pPr>
        <w:numPr>
          <w:ilvl w:val="0"/>
          <w:numId w:val="13"/>
        </w:numPr>
        <w:rPr>
          <w:rFonts w:ascii="Times New Roman" w:hAnsi="Times New Roman"/>
          <w:b/>
          <w:bCs/>
          <w:sz w:val="24"/>
        </w:rPr>
      </w:pPr>
      <w:r w:rsidRPr="00F03662">
        <w:rPr>
          <w:rFonts w:ascii="Times New Roman" w:hAnsi="Times New Roman"/>
          <w:b/>
          <w:bCs/>
          <w:sz w:val="24"/>
        </w:rPr>
        <w:t>Is it recommended to use an outside consultant to complete the required filings?</w:t>
      </w:r>
    </w:p>
    <w:p w14:paraId="2BA430CC" w14:textId="77777777" w:rsidR="00F03662" w:rsidRPr="00D622FB" w:rsidRDefault="00F03662" w:rsidP="00B90D81">
      <w:pPr>
        <w:rPr>
          <w:rFonts w:ascii="Times New Roman" w:hAnsi="Times New Roman"/>
          <w:sz w:val="24"/>
        </w:rPr>
      </w:pPr>
    </w:p>
    <w:p w14:paraId="0C0321B3" w14:textId="2FBA1FC3" w:rsidR="004C1BBC" w:rsidRDefault="004C1BBC" w:rsidP="00D622FB">
      <w:pPr>
        <w:rPr>
          <w:rFonts w:ascii="Times New Roman" w:hAnsi="Times New Roman"/>
          <w:sz w:val="24"/>
        </w:rPr>
      </w:pPr>
      <w:r>
        <w:rPr>
          <w:rFonts w:ascii="Times New Roman" w:hAnsi="Times New Roman"/>
          <w:sz w:val="24"/>
        </w:rPr>
        <w:t>Hiring a consultant is</w:t>
      </w:r>
      <w:r w:rsidR="00B90D81" w:rsidRPr="00B90D81">
        <w:rPr>
          <w:rFonts w:ascii="Times New Roman" w:hAnsi="Times New Roman"/>
          <w:sz w:val="24"/>
        </w:rPr>
        <w:t xml:space="preserve"> </w:t>
      </w:r>
      <w:proofErr w:type="gramStart"/>
      <w:r w:rsidR="00B90D81" w:rsidRPr="00B90D81">
        <w:rPr>
          <w:rFonts w:ascii="Times New Roman" w:hAnsi="Times New Roman"/>
          <w:sz w:val="24"/>
        </w:rPr>
        <w:t>decision</w:t>
      </w:r>
      <w:proofErr w:type="gramEnd"/>
      <w:r w:rsidR="00B90D81" w:rsidRPr="00B90D81">
        <w:rPr>
          <w:rFonts w:ascii="Times New Roman" w:hAnsi="Times New Roman"/>
          <w:sz w:val="24"/>
        </w:rPr>
        <w:t xml:space="preserve"> that each owner/manager </w:t>
      </w:r>
      <w:r w:rsidR="009B1F51">
        <w:rPr>
          <w:rFonts w:ascii="Times New Roman" w:hAnsi="Times New Roman"/>
          <w:sz w:val="24"/>
        </w:rPr>
        <w:t>should</w:t>
      </w:r>
      <w:r w:rsidR="00B90D81" w:rsidRPr="00B90D81">
        <w:rPr>
          <w:rFonts w:ascii="Times New Roman" w:hAnsi="Times New Roman"/>
          <w:sz w:val="24"/>
        </w:rPr>
        <w:t xml:space="preserve"> make based on their technical knowledge and in-house capacity.</w:t>
      </w:r>
      <w:r w:rsidR="009B1F51">
        <w:rPr>
          <w:rFonts w:ascii="Times New Roman" w:hAnsi="Times New Roman"/>
          <w:sz w:val="24"/>
        </w:rPr>
        <w:t xml:space="preserve"> As a result, AOBA </w:t>
      </w:r>
      <w:r w:rsidR="00671C3A">
        <w:rPr>
          <w:rFonts w:ascii="Times New Roman" w:hAnsi="Times New Roman"/>
          <w:sz w:val="24"/>
        </w:rPr>
        <w:t>does not offer a uniform recommendation but has some general guidance below.</w:t>
      </w:r>
    </w:p>
    <w:p w14:paraId="07EF45B5" w14:textId="77777777" w:rsidR="004C1BBC" w:rsidRDefault="004C1BBC" w:rsidP="00D622FB">
      <w:pPr>
        <w:rPr>
          <w:rFonts w:ascii="Times New Roman" w:hAnsi="Times New Roman"/>
          <w:sz w:val="24"/>
        </w:rPr>
      </w:pPr>
    </w:p>
    <w:p w14:paraId="1188AE4A" w14:textId="7246058F" w:rsidR="00E968D0" w:rsidRDefault="004C1BBC" w:rsidP="00D622FB">
      <w:pPr>
        <w:rPr>
          <w:rFonts w:ascii="Times New Roman" w:hAnsi="Times New Roman"/>
          <w:sz w:val="24"/>
        </w:rPr>
      </w:pPr>
      <w:r>
        <w:rPr>
          <w:rFonts w:ascii="Times New Roman" w:hAnsi="Times New Roman"/>
          <w:sz w:val="24"/>
        </w:rPr>
        <w:t>AOBA suggests delineating</w:t>
      </w:r>
      <w:r w:rsidRPr="00B90D81">
        <w:rPr>
          <w:rFonts w:ascii="Times New Roman" w:hAnsi="Times New Roman"/>
          <w:sz w:val="24"/>
        </w:rPr>
        <w:t xml:space="preserve"> th</w:t>
      </w:r>
      <w:r>
        <w:rPr>
          <w:rFonts w:ascii="Times New Roman" w:hAnsi="Times New Roman"/>
          <w:sz w:val="24"/>
        </w:rPr>
        <w:t xml:space="preserve">e consultant decision process </w:t>
      </w:r>
      <w:r w:rsidRPr="00B90D81">
        <w:rPr>
          <w:rFonts w:ascii="Times New Roman" w:hAnsi="Times New Roman"/>
          <w:sz w:val="24"/>
        </w:rPr>
        <w:t xml:space="preserve">into benchmarking and BEPS compliance. </w:t>
      </w:r>
      <w:r w:rsidR="00B90D81" w:rsidRPr="00B90D81">
        <w:rPr>
          <w:rFonts w:ascii="Times New Roman" w:hAnsi="Times New Roman"/>
          <w:sz w:val="24"/>
        </w:rPr>
        <w:t>Benchmarking companies are generally familiar with the technical requirements associated with benchmarking and submitting aggregate meter data requests, but they may ask you to provide information like service addresses or meter numbers.</w:t>
      </w:r>
      <w:r w:rsidR="00671C3A">
        <w:rPr>
          <w:rFonts w:ascii="Times New Roman" w:hAnsi="Times New Roman"/>
          <w:sz w:val="24"/>
        </w:rPr>
        <w:t xml:space="preserve"> </w:t>
      </w:r>
      <w:r>
        <w:rPr>
          <w:rFonts w:ascii="Times New Roman" w:hAnsi="Times New Roman"/>
          <w:sz w:val="24"/>
        </w:rPr>
        <w:t>AOBA suggests</w:t>
      </w:r>
      <w:r w:rsidR="00B90D81" w:rsidRPr="00B90D81">
        <w:rPr>
          <w:rFonts w:ascii="Times New Roman" w:hAnsi="Times New Roman"/>
          <w:sz w:val="24"/>
        </w:rPr>
        <w:t xml:space="preserve"> building </w:t>
      </w:r>
      <w:r>
        <w:rPr>
          <w:rFonts w:ascii="Times New Roman" w:hAnsi="Times New Roman"/>
          <w:sz w:val="24"/>
        </w:rPr>
        <w:t>at least some</w:t>
      </w:r>
      <w:r w:rsidR="00B90D81" w:rsidRPr="00B90D81">
        <w:rPr>
          <w:rFonts w:ascii="Times New Roman" w:hAnsi="Times New Roman"/>
          <w:sz w:val="24"/>
        </w:rPr>
        <w:t xml:space="preserve"> technical in-house expertise over time, but if benchmarking is new to </w:t>
      </w:r>
      <w:r>
        <w:rPr>
          <w:rFonts w:ascii="Times New Roman" w:hAnsi="Times New Roman"/>
          <w:sz w:val="24"/>
        </w:rPr>
        <w:t>your organization</w:t>
      </w:r>
      <w:r w:rsidR="00B90D81" w:rsidRPr="00B90D81">
        <w:rPr>
          <w:rFonts w:ascii="Times New Roman" w:hAnsi="Times New Roman"/>
          <w:sz w:val="24"/>
        </w:rPr>
        <w:t xml:space="preserve"> this might be aspirational</w:t>
      </w:r>
      <w:r>
        <w:rPr>
          <w:rFonts w:ascii="Times New Roman" w:hAnsi="Times New Roman"/>
          <w:sz w:val="24"/>
        </w:rPr>
        <w:t xml:space="preserve"> in the near term. </w:t>
      </w:r>
      <w:r w:rsidR="00E968D0">
        <w:rPr>
          <w:rFonts w:ascii="Times New Roman" w:hAnsi="Times New Roman"/>
          <w:sz w:val="24"/>
        </w:rPr>
        <w:t>AOBA can also help with compliance questions when they arise.</w:t>
      </w:r>
    </w:p>
    <w:p w14:paraId="0BA18B02" w14:textId="77777777" w:rsidR="004C1BBC" w:rsidRDefault="004C1BBC" w:rsidP="00D622FB">
      <w:pPr>
        <w:rPr>
          <w:rFonts w:ascii="Times New Roman" w:hAnsi="Times New Roman"/>
          <w:sz w:val="24"/>
        </w:rPr>
      </w:pPr>
    </w:p>
    <w:p w14:paraId="3B9972B3" w14:textId="4BEDB1EB" w:rsidR="00671C3A" w:rsidRDefault="00B90D81" w:rsidP="00D622FB">
      <w:pPr>
        <w:rPr>
          <w:rFonts w:ascii="Times New Roman" w:hAnsi="Times New Roman"/>
          <w:sz w:val="24"/>
        </w:rPr>
      </w:pPr>
      <w:r w:rsidRPr="00B90D81">
        <w:rPr>
          <w:rFonts w:ascii="Times New Roman" w:hAnsi="Times New Roman"/>
          <w:sz w:val="24"/>
        </w:rPr>
        <w:t xml:space="preserve">For BEPS, some compliance methods (e.g., submitting site EUI via benchmarking) would be handled through the benchmarking provider. Supplemental forms </w:t>
      </w:r>
      <w:r w:rsidR="00E968D0">
        <w:rPr>
          <w:rFonts w:ascii="Times New Roman" w:hAnsi="Times New Roman"/>
          <w:sz w:val="24"/>
        </w:rPr>
        <w:t xml:space="preserve">are </w:t>
      </w:r>
      <w:r w:rsidRPr="00B90D81">
        <w:rPr>
          <w:rFonts w:ascii="Times New Roman" w:hAnsi="Times New Roman"/>
          <w:sz w:val="24"/>
        </w:rPr>
        <w:t xml:space="preserve">typically required to be submitted either by the owner directly or through an owner’s </w:t>
      </w:r>
      <w:r w:rsidR="00E968D0">
        <w:rPr>
          <w:rFonts w:ascii="Times New Roman" w:hAnsi="Times New Roman"/>
          <w:sz w:val="24"/>
        </w:rPr>
        <w:t xml:space="preserve">representative. Some </w:t>
      </w:r>
      <w:r w:rsidRPr="00B90D81">
        <w:rPr>
          <w:rFonts w:ascii="Times New Roman" w:hAnsi="Times New Roman"/>
          <w:sz w:val="24"/>
        </w:rPr>
        <w:t xml:space="preserve">consultants </w:t>
      </w:r>
      <w:r w:rsidR="00E123AF">
        <w:rPr>
          <w:rFonts w:ascii="Times New Roman" w:hAnsi="Times New Roman"/>
          <w:sz w:val="24"/>
        </w:rPr>
        <w:t xml:space="preserve">are comfortable with this, but others are not. In addition, your organization </w:t>
      </w:r>
      <w:r w:rsidRPr="00B90D81">
        <w:rPr>
          <w:rFonts w:ascii="Times New Roman" w:hAnsi="Times New Roman"/>
          <w:sz w:val="24"/>
        </w:rPr>
        <w:t xml:space="preserve">may decide </w:t>
      </w:r>
      <w:r w:rsidR="00E123AF">
        <w:rPr>
          <w:rFonts w:ascii="Times New Roman" w:hAnsi="Times New Roman"/>
          <w:sz w:val="24"/>
        </w:rPr>
        <w:t>it</w:t>
      </w:r>
      <w:r w:rsidRPr="00B90D81">
        <w:rPr>
          <w:rFonts w:ascii="Times New Roman" w:hAnsi="Times New Roman"/>
          <w:sz w:val="24"/>
        </w:rPr>
        <w:t xml:space="preserve"> want</w:t>
      </w:r>
      <w:r w:rsidR="00671C3A">
        <w:rPr>
          <w:rFonts w:ascii="Times New Roman" w:hAnsi="Times New Roman"/>
          <w:sz w:val="24"/>
        </w:rPr>
        <w:t>s</w:t>
      </w:r>
      <w:r w:rsidRPr="00B90D81">
        <w:rPr>
          <w:rFonts w:ascii="Times New Roman" w:hAnsi="Times New Roman"/>
          <w:sz w:val="24"/>
        </w:rPr>
        <w:t xml:space="preserve"> to have </w:t>
      </w:r>
      <w:r w:rsidR="00E123AF">
        <w:rPr>
          <w:rFonts w:ascii="Times New Roman" w:hAnsi="Times New Roman"/>
          <w:sz w:val="24"/>
        </w:rPr>
        <w:t>its</w:t>
      </w:r>
      <w:r w:rsidRPr="00B90D81">
        <w:rPr>
          <w:rFonts w:ascii="Times New Roman" w:hAnsi="Times New Roman"/>
          <w:sz w:val="24"/>
        </w:rPr>
        <w:t xml:space="preserve"> name on the submission form.</w:t>
      </w:r>
      <w:r w:rsidR="00671C3A">
        <w:rPr>
          <w:rFonts w:ascii="Times New Roman" w:hAnsi="Times New Roman"/>
          <w:sz w:val="24"/>
        </w:rPr>
        <w:t xml:space="preserve"> Most enforcement mechanisms are tied back to the owner, so ultimately it will fall to the owner to ensure that submitted information is correct.</w:t>
      </w:r>
    </w:p>
    <w:p w14:paraId="7BE1558E" w14:textId="77777777" w:rsidR="00671C3A" w:rsidRDefault="00671C3A" w:rsidP="00D622FB">
      <w:pPr>
        <w:rPr>
          <w:rFonts w:ascii="Times New Roman" w:hAnsi="Times New Roman"/>
          <w:sz w:val="24"/>
        </w:rPr>
      </w:pPr>
    </w:p>
    <w:p w14:paraId="4D30F02B" w14:textId="78CF5A50" w:rsidR="00B90D81" w:rsidRPr="00B90D81" w:rsidRDefault="00B90D81" w:rsidP="00D622FB">
      <w:pPr>
        <w:rPr>
          <w:rFonts w:ascii="Times New Roman" w:hAnsi="Times New Roman"/>
          <w:sz w:val="24"/>
        </w:rPr>
      </w:pPr>
      <w:r w:rsidRPr="00B90D81">
        <w:rPr>
          <w:rFonts w:ascii="Times New Roman" w:hAnsi="Times New Roman"/>
          <w:sz w:val="24"/>
        </w:rPr>
        <w:t xml:space="preserve">But: in practice it would not be surprising if during </w:t>
      </w:r>
      <w:r w:rsidR="00E123AF">
        <w:rPr>
          <w:rFonts w:ascii="Times New Roman" w:hAnsi="Times New Roman"/>
          <w:sz w:val="24"/>
        </w:rPr>
        <w:t>your organization’s</w:t>
      </w:r>
      <w:r w:rsidRPr="00B90D81">
        <w:rPr>
          <w:rFonts w:ascii="Times New Roman" w:hAnsi="Times New Roman"/>
          <w:sz w:val="24"/>
        </w:rPr>
        <w:t xml:space="preserve"> process with </w:t>
      </w:r>
      <w:proofErr w:type="gramStart"/>
      <w:r w:rsidRPr="00B90D81">
        <w:rPr>
          <w:rFonts w:ascii="Times New Roman" w:hAnsi="Times New Roman"/>
          <w:sz w:val="24"/>
        </w:rPr>
        <w:t>BEPS</w:t>
      </w:r>
      <w:proofErr w:type="gramEnd"/>
      <w:r w:rsidRPr="00B90D81">
        <w:rPr>
          <w:rFonts w:ascii="Times New Roman" w:hAnsi="Times New Roman"/>
          <w:sz w:val="24"/>
        </w:rPr>
        <w:t xml:space="preserve"> </w:t>
      </w:r>
      <w:r w:rsidR="00E123AF">
        <w:rPr>
          <w:rFonts w:ascii="Times New Roman" w:hAnsi="Times New Roman"/>
          <w:sz w:val="24"/>
        </w:rPr>
        <w:t>it</w:t>
      </w:r>
      <w:r w:rsidRPr="00B90D81">
        <w:rPr>
          <w:rFonts w:ascii="Times New Roman" w:hAnsi="Times New Roman"/>
          <w:sz w:val="24"/>
        </w:rPr>
        <w:t xml:space="preserve"> decide</w:t>
      </w:r>
      <w:r w:rsidR="00E123AF">
        <w:rPr>
          <w:rFonts w:ascii="Times New Roman" w:hAnsi="Times New Roman"/>
          <w:sz w:val="24"/>
        </w:rPr>
        <w:t xml:space="preserve">s it </w:t>
      </w:r>
      <w:r w:rsidRPr="00B90D81">
        <w:rPr>
          <w:rFonts w:ascii="Times New Roman" w:hAnsi="Times New Roman"/>
          <w:sz w:val="24"/>
        </w:rPr>
        <w:t>need</w:t>
      </w:r>
      <w:r w:rsidR="00671C3A">
        <w:rPr>
          <w:rFonts w:ascii="Times New Roman" w:hAnsi="Times New Roman"/>
          <w:sz w:val="24"/>
        </w:rPr>
        <w:t>s</w:t>
      </w:r>
      <w:r w:rsidRPr="00B90D81">
        <w:rPr>
          <w:rFonts w:ascii="Times New Roman" w:hAnsi="Times New Roman"/>
          <w:sz w:val="24"/>
        </w:rPr>
        <w:t xml:space="preserve"> outside help.</w:t>
      </w:r>
    </w:p>
    <w:p w14:paraId="6437C3B2" w14:textId="77777777" w:rsidR="00DF46B3" w:rsidRDefault="00DF46B3" w:rsidP="000D1C59">
      <w:pPr>
        <w:rPr>
          <w:rFonts w:ascii="Times New Roman" w:hAnsi="Times New Roman"/>
          <w:sz w:val="24"/>
        </w:rPr>
      </w:pPr>
    </w:p>
    <w:p w14:paraId="3EB6A1EC" w14:textId="55E02AEE" w:rsidR="000D1C59" w:rsidRPr="00302FDB" w:rsidRDefault="000D1C59" w:rsidP="000552A4">
      <w:pPr>
        <w:pStyle w:val="ListParagraph"/>
        <w:numPr>
          <w:ilvl w:val="0"/>
          <w:numId w:val="13"/>
        </w:numPr>
        <w:rPr>
          <w:rFonts w:ascii="Times New Roman" w:hAnsi="Times New Roman"/>
          <w:b/>
          <w:bCs/>
          <w:sz w:val="24"/>
        </w:rPr>
      </w:pPr>
      <w:r w:rsidRPr="00302FDB">
        <w:rPr>
          <w:rFonts w:ascii="Times New Roman" w:hAnsi="Times New Roman"/>
          <w:b/>
          <w:bCs/>
          <w:sz w:val="24"/>
        </w:rPr>
        <w:t>What is the standard for determining square footage? (</w:t>
      </w:r>
      <w:proofErr w:type="gramStart"/>
      <w:r w:rsidRPr="00302FDB">
        <w:rPr>
          <w:rFonts w:ascii="Times New Roman" w:hAnsi="Times New Roman"/>
          <w:b/>
          <w:bCs/>
          <w:sz w:val="24"/>
        </w:rPr>
        <w:t>inside</w:t>
      </w:r>
      <w:proofErr w:type="gramEnd"/>
      <w:r w:rsidRPr="00302FDB">
        <w:rPr>
          <w:rFonts w:ascii="Times New Roman" w:hAnsi="Times New Roman"/>
          <w:b/>
          <w:bCs/>
          <w:sz w:val="24"/>
        </w:rPr>
        <w:t xml:space="preserve"> measurement? outside building envelope measurement? BOMA standard?)</w:t>
      </w:r>
      <w:r w:rsidR="00DF46B3" w:rsidRPr="00302FDB">
        <w:rPr>
          <w:rFonts w:ascii="Times New Roman" w:hAnsi="Times New Roman"/>
          <w:b/>
          <w:bCs/>
          <w:sz w:val="24"/>
        </w:rPr>
        <w:t xml:space="preserve"> </w:t>
      </w:r>
      <w:r w:rsidRPr="00302FDB">
        <w:rPr>
          <w:rFonts w:ascii="Times New Roman" w:hAnsi="Times New Roman"/>
          <w:b/>
          <w:bCs/>
          <w:sz w:val="24"/>
        </w:rPr>
        <w:t>Is a "lower" square footage' advantageous?</w:t>
      </w:r>
    </w:p>
    <w:p w14:paraId="26809C60" w14:textId="2D11A60C" w:rsidR="00B6061B" w:rsidRDefault="008A029E" w:rsidP="008054B5">
      <w:pPr>
        <w:rPr>
          <w:rFonts w:ascii="Times New Roman" w:hAnsi="Times New Roman"/>
          <w:sz w:val="24"/>
        </w:rPr>
      </w:pPr>
      <w:r>
        <w:rPr>
          <w:rFonts w:ascii="Times New Roman" w:hAnsi="Times New Roman"/>
          <w:sz w:val="24"/>
        </w:rPr>
        <w:t xml:space="preserve">Benchmarking programs in the region align with </w:t>
      </w:r>
      <w:hyperlink r:id="rId10" w:history="1">
        <w:r w:rsidRPr="00DE2139">
          <w:rPr>
            <w:rStyle w:val="Hyperlink"/>
            <w:rFonts w:ascii="Times New Roman" w:hAnsi="Times New Roman"/>
            <w:sz w:val="24"/>
          </w:rPr>
          <w:t>ENERGY STAR Portfolio Manager’s measurement guidance</w:t>
        </w:r>
      </w:hyperlink>
      <w:r w:rsidR="006940D5">
        <w:rPr>
          <w:rFonts w:ascii="Times New Roman" w:hAnsi="Times New Roman"/>
          <w:sz w:val="24"/>
        </w:rPr>
        <w:t xml:space="preserve">, which you can also see in </w:t>
      </w:r>
      <w:hyperlink r:id="rId11" w:history="1">
        <w:r w:rsidR="006940D5" w:rsidRPr="00412BA9">
          <w:rPr>
            <w:rStyle w:val="Hyperlink"/>
            <w:rFonts w:ascii="Times New Roman" w:hAnsi="Times New Roman"/>
            <w:sz w:val="24"/>
          </w:rPr>
          <w:t>Montgomery County</w:t>
        </w:r>
      </w:hyperlink>
      <w:r w:rsidR="006940D5">
        <w:rPr>
          <w:rFonts w:ascii="Times New Roman" w:hAnsi="Times New Roman"/>
          <w:sz w:val="24"/>
        </w:rPr>
        <w:t xml:space="preserve"> and </w:t>
      </w:r>
      <w:hyperlink r:id="rId12" w:history="1">
        <w:r w:rsidR="006940D5" w:rsidRPr="00385877">
          <w:rPr>
            <w:rStyle w:val="Hyperlink"/>
            <w:rFonts w:ascii="Times New Roman" w:hAnsi="Times New Roman"/>
            <w:sz w:val="24"/>
          </w:rPr>
          <w:t>Maryland’s</w:t>
        </w:r>
      </w:hyperlink>
      <w:r w:rsidR="006940D5">
        <w:rPr>
          <w:rFonts w:ascii="Times New Roman" w:hAnsi="Times New Roman"/>
          <w:sz w:val="24"/>
        </w:rPr>
        <w:t xml:space="preserve"> benchmarking guides. </w:t>
      </w:r>
      <w:r w:rsidR="00B6061B">
        <w:rPr>
          <w:rFonts w:ascii="Times New Roman" w:hAnsi="Times New Roman"/>
          <w:sz w:val="24"/>
        </w:rPr>
        <w:t xml:space="preserve">In most cases, these measurements can be taken with an existing drawing set, such as architectural drawings or BOMA calculations. (Other forms of drawings </w:t>
      </w:r>
      <w:r w:rsidR="00E42F4A">
        <w:rPr>
          <w:rFonts w:ascii="Times New Roman" w:hAnsi="Times New Roman"/>
          <w:sz w:val="24"/>
        </w:rPr>
        <w:t xml:space="preserve">such as site plans or ALTA surveys can be used </w:t>
      </w:r>
      <w:r w:rsidR="00B54E22">
        <w:rPr>
          <w:rFonts w:ascii="Times New Roman" w:hAnsi="Times New Roman"/>
          <w:sz w:val="24"/>
        </w:rPr>
        <w:t>with good drawing scales.)</w:t>
      </w:r>
    </w:p>
    <w:p w14:paraId="703C37D6" w14:textId="77777777" w:rsidR="00B54E22" w:rsidRDefault="00B54E22" w:rsidP="008054B5">
      <w:pPr>
        <w:rPr>
          <w:rFonts w:ascii="Times New Roman" w:hAnsi="Times New Roman"/>
          <w:sz w:val="24"/>
        </w:rPr>
      </w:pPr>
    </w:p>
    <w:p w14:paraId="484EADC8" w14:textId="55CDC2B4" w:rsidR="00B54E22" w:rsidRDefault="00B54E22" w:rsidP="008054B5">
      <w:pPr>
        <w:rPr>
          <w:rFonts w:ascii="Times New Roman" w:hAnsi="Times New Roman"/>
          <w:sz w:val="24"/>
        </w:rPr>
      </w:pPr>
      <w:proofErr w:type="gramStart"/>
      <w:r>
        <w:rPr>
          <w:rFonts w:ascii="Times New Roman" w:hAnsi="Times New Roman"/>
          <w:sz w:val="24"/>
        </w:rPr>
        <w:t>Generally speaking,</w:t>
      </w:r>
      <w:r w:rsidR="00B36DB2">
        <w:rPr>
          <w:rFonts w:ascii="Times New Roman" w:hAnsi="Times New Roman"/>
          <w:sz w:val="24"/>
        </w:rPr>
        <w:t xml:space="preserve"> since</w:t>
      </w:r>
      <w:proofErr w:type="gramEnd"/>
      <w:r w:rsidR="00B36DB2">
        <w:rPr>
          <w:rFonts w:ascii="Times New Roman" w:hAnsi="Times New Roman"/>
          <w:sz w:val="24"/>
        </w:rPr>
        <w:t xml:space="preserve"> site energy use intensity is energy use divided by gross square footage, </w:t>
      </w:r>
      <w:r w:rsidR="00244611">
        <w:rPr>
          <w:rFonts w:ascii="Times New Roman" w:hAnsi="Times New Roman"/>
          <w:sz w:val="24"/>
        </w:rPr>
        <w:t>having a larger footprint is better. However, it is also important to accurately represent your square footage correctly.</w:t>
      </w:r>
    </w:p>
    <w:p w14:paraId="1A5DEC80" w14:textId="77777777" w:rsidR="008A029E" w:rsidRPr="008054B5" w:rsidRDefault="008A029E" w:rsidP="008054B5">
      <w:pPr>
        <w:rPr>
          <w:rFonts w:ascii="Times New Roman" w:hAnsi="Times New Roman"/>
          <w:sz w:val="24"/>
        </w:rPr>
      </w:pPr>
    </w:p>
    <w:p w14:paraId="71E3EB1E" w14:textId="77777777" w:rsidR="000552A4" w:rsidRPr="00302FDB" w:rsidRDefault="000D1C59" w:rsidP="000552A4">
      <w:pPr>
        <w:pStyle w:val="ListParagraph"/>
        <w:numPr>
          <w:ilvl w:val="0"/>
          <w:numId w:val="13"/>
        </w:numPr>
        <w:rPr>
          <w:rFonts w:ascii="Times New Roman" w:hAnsi="Times New Roman"/>
          <w:b/>
          <w:bCs/>
          <w:sz w:val="24"/>
        </w:rPr>
      </w:pPr>
      <w:r w:rsidRPr="00302FDB">
        <w:rPr>
          <w:rFonts w:ascii="Times New Roman" w:hAnsi="Times New Roman"/>
          <w:b/>
          <w:bCs/>
          <w:sz w:val="24"/>
        </w:rPr>
        <w:t>Is the State supposed to "officially" notify property owners of the requirement?</w:t>
      </w:r>
    </w:p>
    <w:p w14:paraId="0C881E8A" w14:textId="446ED61A" w:rsidR="008054B5" w:rsidRPr="00244611" w:rsidRDefault="00244611" w:rsidP="00244611">
      <w:pPr>
        <w:rPr>
          <w:rFonts w:ascii="Times New Roman" w:hAnsi="Times New Roman"/>
          <w:sz w:val="24"/>
        </w:rPr>
      </w:pPr>
      <w:r>
        <w:rPr>
          <w:rFonts w:ascii="Times New Roman" w:hAnsi="Times New Roman"/>
          <w:sz w:val="24"/>
        </w:rPr>
        <w:t xml:space="preserve">MDE has posted a </w:t>
      </w:r>
      <w:hyperlink r:id="rId13" w:history="1">
        <w:r w:rsidRPr="005129CA">
          <w:rPr>
            <w:rStyle w:val="Hyperlink"/>
            <w:rFonts w:ascii="Times New Roman" w:hAnsi="Times New Roman"/>
            <w:sz w:val="24"/>
          </w:rPr>
          <w:t>Compliance Advisory</w:t>
        </w:r>
      </w:hyperlink>
      <w:r>
        <w:rPr>
          <w:rFonts w:ascii="Times New Roman" w:hAnsi="Times New Roman"/>
          <w:sz w:val="24"/>
        </w:rPr>
        <w:t xml:space="preserve"> on their website, but AOBA is unsure if this was distributed to building owners. </w:t>
      </w:r>
      <w:r w:rsidR="008E179E">
        <w:rPr>
          <w:rFonts w:ascii="Times New Roman" w:hAnsi="Times New Roman"/>
          <w:sz w:val="24"/>
        </w:rPr>
        <w:t xml:space="preserve">AOBA will check with </w:t>
      </w:r>
      <w:proofErr w:type="gramStart"/>
      <w:r w:rsidR="008E179E">
        <w:rPr>
          <w:rFonts w:ascii="Times New Roman" w:hAnsi="Times New Roman"/>
          <w:sz w:val="24"/>
        </w:rPr>
        <w:t>MDE</w:t>
      </w:r>
      <w:proofErr w:type="gramEnd"/>
      <w:r w:rsidR="008E179E">
        <w:rPr>
          <w:rFonts w:ascii="Times New Roman" w:hAnsi="Times New Roman"/>
          <w:sz w:val="24"/>
        </w:rPr>
        <w:t xml:space="preserve"> about any additional notification efforts.</w:t>
      </w:r>
    </w:p>
    <w:p w14:paraId="41C70E9B" w14:textId="77777777" w:rsidR="008054B5" w:rsidRPr="008054B5" w:rsidRDefault="008054B5" w:rsidP="008054B5">
      <w:pPr>
        <w:rPr>
          <w:rFonts w:ascii="Times New Roman" w:hAnsi="Times New Roman"/>
          <w:sz w:val="24"/>
        </w:rPr>
      </w:pPr>
    </w:p>
    <w:p w14:paraId="22673011" w14:textId="0F4F19CD" w:rsidR="000D1C59" w:rsidRPr="00302FDB" w:rsidRDefault="00E2677A" w:rsidP="000552A4">
      <w:pPr>
        <w:pStyle w:val="ListParagraph"/>
        <w:numPr>
          <w:ilvl w:val="0"/>
          <w:numId w:val="13"/>
        </w:numPr>
        <w:rPr>
          <w:rFonts w:ascii="Times New Roman" w:hAnsi="Times New Roman"/>
          <w:b/>
          <w:bCs/>
          <w:sz w:val="24"/>
        </w:rPr>
      </w:pPr>
      <w:r>
        <w:rPr>
          <w:rFonts w:ascii="Times New Roman" w:hAnsi="Times New Roman"/>
          <w:b/>
          <w:bCs/>
          <w:sz w:val="24"/>
        </w:rPr>
        <w:t xml:space="preserve">For Maryland requirements, </w:t>
      </w:r>
      <w:r w:rsidR="000D1C59" w:rsidRPr="00302FDB">
        <w:rPr>
          <w:rFonts w:ascii="Times New Roman" w:hAnsi="Times New Roman"/>
          <w:b/>
          <w:bCs/>
          <w:sz w:val="24"/>
        </w:rPr>
        <w:t xml:space="preserve">what dates do </w:t>
      </w:r>
      <w:r>
        <w:rPr>
          <w:rFonts w:ascii="Times New Roman" w:hAnsi="Times New Roman"/>
          <w:b/>
          <w:bCs/>
          <w:sz w:val="24"/>
        </w:rPr>
        <w:t>owners</w:t>
      </w:r>
      <w:r w:rsidR="000D1C59" w:rsidRPr="00302FDB">
        <w:rPr>
          <w:rFonts w:ascii="Times New Roman" w:hAnsi="Times New Roman"/>
          <w:b/>
          <w:bCs/>
          <w:sz w:val="24"/>
        </w:rPr>
        <w:t xml:space="preserve"> need to do what by?</w:t>
      </w:r>
    </w:p>
    <w:p w14:paraId="390D76D6" w14:textId="2A365991" w:rsidR="00F03662" w:rsidRDefault="008E179E" w:rsidP="00B90D81">
      <w:pPr>
        <w:rPr>
          <w:rFonts w:ascii="Times New Roman" w:hAnsi="Times New Roman"/>
          <w:sz w:val="24"/>
        </w:rPr>
      </w:pPr>
      <w:r>
        <w:rPr>
          <w:rFonts w:ascii="Times New Roman" w:hAnsi="Times New Roman"/>
          <w:sz w:val="24"/>
        </w:rPr>
        <w:t xml:space="preserve">AOBA plans on producing a </w:t>
      </w:r>
      <w:r w:rsidR="003A038C">
        <w:rPr>
          <w:rFonts w:ascii="Times New Roman" w:hAnsi="Times New Roman"/>
          <w:sz w:val="24"/>
        </w:rPr>
        <w:t xml:space="preserve">separate document </w:t>
      </w:r>
      <w:r w:rsidR="0053773E">
        <w:rPr>
          <w:rFonts w:ascii="Times New Roman" w:hAnsi="Times New Roman"/>
          <w:sz w:val="24"/>
        </w:rPr>
        <w:t>in the future</w:t>
      </w:r>
      <w:r w:rsidR="003327E1">
        <w:rPr>
          <w:rFonts w:ascii="Times New Roman" w:hAnsi="Times New Roman"/>
          <w:sz w:val="24"/>
        </w:rPr>
        <w:t xml:space="preserve"> to elaborate on this</w:t>
      </w:r>
      <w:r w:rsidR="0053773E">
        <w:rPr>
          <w:rFonts w:ascii="Times New Roman" w:hAnsi="Times New Roman"/>
          <w:sz w:val="24"/>
        </w:rPr>
        <w:t>, but</w:t>
      </w:r>
      <w:r w:rsidR="003834D6">
        <w:rPr>
          <w:rFonts w:ascii="Times New Roman" w:hAnsi="Times New Roman"/>
          <w:sz w:val="24"/>
        </w:rPr>
        <w:t xml:space="preserve"> the key regulatory dates for Maryland BEPS are as follows:</w:t>
      </w:r>
    </w:p>
    <w:p w14:paraId="3B6F0E51" w14:textId="67766B52" w:rsidR="003834D6" w:rsidRDefault="003834D6" w:rsidP="003834D6">
      <w:pPr>
        <w:pStyle w:val="ListParagraph"/>
        <w:numPr>
          <w:ilvl w:val="0"/>
          <w:numId w:val="18"/>
        </w:numPr>
        <w:rPr>
          <w:rFonts w:ascii="Times New Roman" w:hAnsi="Times New Roman"/>
          <w:sz w:val="24"/>
        </w:rPr>
      </w:pPr>
      <w:r w:rsidRPr="00F8196C">
        <w:rPr>
          <w:rFonts w:ascii="Times New Roman" w:hAnsi="Times New Roman"/>
          <w:b/>
          <w:bCs/>
          <w:sz w:val="24"/>
        </w:rPr>
        <w:t xml:space="preserve">September 1, 2025: </w:t>
      </w:r>
      <w:r>
        <w:rPr>
          <w:rFonts w:ascii="Times New Roman" w:hAnsi="Times New Roman"/>
          <w:sz w:val="24"/>
        </w:rPr>
        <w:t xml:space="preserve">complete benchmarking submissions to </w:t>
      </w:r>
      <w:r w:rsidR="00F35C9E">
        <w:rPr>
          <w:rFonts w:ascii="Times New Roman" w:hAnsi="Times New Roman"/>
          <w:sz w:val="24"/>
        </w:rPr>
        <w:t>MDE</w:t>
      </w:r>
      <w:r w:rsidR="00081E09">
        <w:rPr>
          <w:rFonts w:ascii="Times New Roman" w:hAnsi="Times New Roman"/>
          <w:sz w:val="24"/>
        </w:rPr>
        <w:t xml:space="preserve"> for your properties over 35,000 square feet using 2024 </w:t>
      </w:r>
      <w:r w:rsidR="00F8196C">
        <w:rPr>
          <w:rFonts w:ascii="Times New Roman" w:hAnsi="Times New Roman"/>
          <w:sz w:val="24"/>
        </w:rPr>
        <w:t xml:space="preserve">energy </w:t>
      </w:r>
      <w:r w:rsidR="00081E09">
        <w:rPr>
          <w:rFonts w:ascii="Times New Roman" w:hAnsi="Times New Roman"/>
          <w:sz w:val="24"/>
        </w:rPr>
        <w:t>data.</w:t>
      </w:r>
    </w:p>
    <w:p w14:paraId="6AF41CDD" w14:textId="5F71FD38" w:rsidR="00081E09" w:rsidRDefault="00081E09" w:rsidP="003834D6">
      <w:pPr>
        <w:pStyle w:val="ListParagraph"/>
        <w:numPr>
          <w:ilvl w:val="0"/>
          <w:numId w:val="18"/>
        </w:numPr>
        <w:rPr>
          <w:rFonts w:ascii="Times New Roman" w:hAnsi="Times New Roman"/>
          <w:sz w:val="24"/>
        </w:rPr>
      </w:pPr>
      <w:r w:rsidRPr="00F8196C">
        <w:rPr>
          <w:rFonts w:ascii="Times New Roman" w:hAnsi="Times New Roman"/>
          <w:b/>
          <w:bCs/>
          <w:sz w:val="24"/>
        </w:rPr>
        <w:t>June 1, 2026;</w:t>
      </w:r>
      <w:r>
        <w:rPr>
          <w:rFonts w:ascii="Times New Roman" w:hAnsi="Times New Roman"/>
          <w:sz w:val="24"/>
        </w:rPr>
        <w:t xml:space="preserve"> complete third-party verification of your benchmarking submission to MDE </w:t>
      </w:r>
      <w:r w:rsidR="00F91AAD">
        <w:rPr>
          <w:rFonts w:ascii="Times New Roman" w:hAnsi="Times New Roman"/>
          <w:sz w:val="24"/>
        </w:rPr>
        <w:t xml:space="preserve">for your properties </w:t>
      </w:r>
      <w:r w:rsidR="00767ADA">
        <w:rPr>
          <w:rFonts w:ascii="Times New Roman" w:hAnsi="Times New Roman"/>
          <w:sz w:val="24"/>
        </w:rPr>
        <w:t>over 35,000 square feet</w:t>
      </w:r>
      <w:r w:rsidR="00F8196C">
        <w:rPr>
          <w:rFonts w:ascii="Times New Roman" w:hAnsi="Times New Roman"/>
          <w:sz w:val="24"/>
        </w:rPr>
        <w:t xml:space="preserve"> using 2025 energy data.</w:t>
      </w:r>
    </w:p>
    <w:p w14:paraId="5F21978D" w14:textId="1394D82B" w:rsidR="00767ADA" w:rsidRDefault="00767ADA" w:rsidP="00767ADA">
      <w:pPr>
        <w:pStyle w:val="ListParagraph"/>
        <w:numPr>
          <w:ilvl w:val="0"/>
          <w:numId w:val="18"/>
        </w:numPr>
        <w:rPr>
          <w:rFonts w:ascii="Times New Roman" w:hAnsi="Times New Roman"/>
          <w:sz w:val="24"/>
        </w:rPr>
      </w:pPr>
      <w:r w:rsidRPr="00F8196C">
        <w:rPr>
          <w:rFonts w:ascii="Times New Roman" w:hAnsi="Times New Roman"/>
          <w:b/>
          <w:bCs/>
          <w:sz w:val="24"/>
        </w:rPr>
        <w:t>June 1, 2027-2030:</w:t>
      </w:r>
      <w:r>
        <w:rPr>
          <w:rFonts w:ascii="Times New Roman" w:hAnsi="Times New Roman"/>
          <w:sz w:val="24"/>
        </w:rPr>
        <w:t xml:space="preserve"> complete benchmarking submissions to MDE for your properties over 35,000 square feet using </w:t>
      </w:r>
      <w:r w:rsidR="00E076AC">
        <w:rPr>
          <w:rFonts w:ascii="Times New Roman" w:hAnsi="Times New Roman"/>
          <w:sz w:val="24"/>
        </w:rPr>
        <w:t>prior year</w:t>
      </w:r>
      <w:r>
        <w:rPr>
          <w:rFonts w:ascii="Times New Roman" w:hAnsi="Times New Roman"/>
          <w:sz w:val="24"/>
        </w:rPr>
        <w:t xml:space="preserve"> data.</w:t>
      </w:r>
    </w:p>
    <w:p w14:paraId="2C705708" w14:textId="5C4A1D92" w:rsidR="00767ADA" w:rsidRDefault="00767ADA" w:rsidP="00767ADA">
      <w:pPr>
        <w:pStyle w:val="ListParagraph"/>
        <w:numPr>
          <w:ilvl w:val="0"/>
          <w:numId w:val="18"/>
        </w:numPr>
        <w:rPr>
          <w:rFonts w:ascii="Times New Roman" w:hAnsi="Times New Roman"/>
          <w:sz w:val="24"/>
        </w:rPr>
      </w:pPr>
      <w:r w:rsidRPr="00F8196C">
        <w:rPr>
          <w:rFonts w:ascii="Times New Roman" w:hAnsi="Times New Roman"/>
          <w:b/>
          <w:bCs/>
          <w:sz w:val="24"/>
        </w:rPr>
        <w:t>June 1, 2031:</w:t>
      </w:r>
      <w:r>
        <w:rPr>
          <w:rFonts w:ascii="Times New Roman" w:hAnsi="Times New Roman"/>
          <w:sz w:val="24"/>
        </w:rPr>
        <w:t xml:space="preserve"> meet BEPS interim standard 1 for your properties </w:t>
      </w:r>
      <w:r w:rsidR="00813A11">
        <w:rPr>
          <w:rFonts w:ascii="Times New Roman" w:hAnsi="Times New Roman"/>
          <w:sz w:val="24"/>
        </w:rPr>
        <w:t xml:space="preserve">(or provide an equivalent alternative compliance payment) </w:t>
      </w:r>
      <w:r>
        <w:rPr>
          <w:rFonts w:ascii="Times New Roman" w:hAnsi="Times New Roman"/>
          <w:sz w:val="24"/>
        </w:rPr>
        <w:t>and complete third-party verification of your benchmarking submission to MDE for your properties over 35,000 square feet</w:t>
      </w:r>
      <w:r w:rsidR="00E076AC">
        <w:rPr>
          <w:rFonts w:ascii="Times New Roman" w:hAnsi="Times New Roman"/>
          <w:sz w:val="24"/>
        </w:rPr>
        <w:t xml:space="preserve"> using prior year data.</w:t>
      </w:r>
      <w:r w:rsidR="00813A11">
        <w:rPr>
          <w:rFonts w:ascii="Times New Roman" w:hAnsi="Times New Roman"/>
          <w:sz w:val="24"/>
        </w:rPr>
        <w:t xml:space="preserve"> </w:t>
      </w:r>
    </w:p>
    <w:p w14:paraId="1B1798B1" w14:textId="20E851CA" w:rsidR="00767ADA" w:rsidRDefault="00767ADA" w:rsidP="00767ADA">
      <w:pPr>
        <w:pStyle w:val="ListParagraph"/>
        <w:numPr>
          <w:ilvl w:val="0"/>
          <w:numId w:val="18"/>
        </w:numPr>
        <w:rPr>
          <w:rFonts w:ascii="Times New Roman" w:hAnsi="Times New Roman"/>
          <w:sz w:val="24"/>
        </w:rPr>
      </w:pPr>
      <w:r w:rsidRPr="00F8196C">
        <w:rPr>
          <w:rFonts w:ascii="Times New Roman" w:hAnsi="Times New Roman"/>
          <w:b/>
          <w:bCs/>
          <w:sz w:val="24"/>
        </w:rPr>
        <w:lastRenderedPageBreak/>
        <w:t>June 1, 2032-2035</w:t>
      </w:r>
      <w:r>
        <w:rPr>
          <w:rFonts w:ascii="Times New Roman" w:hAnsi="Times New Roman"/>
          <w:sz w:val="24"/>
        </w:rPr>
        <w:t xml:space="preserve">: complete benchmarking submissions to MDE for your properties over 35,000 square feet using </w:t>
      </w:r>
      <w:r w:rsidR="00E076AC">
        <w:rPr>
          <w:rFonts w:ascii="Times New Roman" w:hAnsi="Times New Roman"/>
          <w:sz w:val="24"/>
        </w:rPr>
        <w:t>prior year</w:t>
      </w:r>
      <w:r>
        <w:rPr>
          <w:rFonts w:ascii="Times New Roman" w:hAnsi="Times New Roman"/>
          <w:sz w:val="24"/>
        </w:rPr>
        <w:t xml:space="preserve"> data.</w:t>
      </w:r>
      <w:r w:rsidR="00176E96">
        <w:rPr>
          <w:rFonts w:ascii="Times New Roman" w:hAnsi="Times New Roman"/>
          <w:sz w:val="24"/>
        </w:rPr>
        <w:t xml:space="preserve"> If necessary, provide alternative compliance payments for failure to meet interim standard 1.</w:t>
      </w:r>
    </w:p>
    <w:p w14:paraId="73496BDB" w14:textId="4FFA6DB4" w:rsidR="00767ADA" w:rsidRDefault="00767ADA" w:rsidP="00767ADA">
      <w:pPr>
        <w:pStyle w:val="ListParagraph"/>
        <w:numPr>
          <w:ilvl w:val="0"/>
          <w:numId w:val="18"/>
        </w:numPr>
        <w:rPr>
          <w:rFonts w:ascii="Times New Roman" w:hAnsi="Times New Roman"/>
          <w:sz w:val="24"/>
        </w:rPr>
      </w:pPr>
      <w:r w:rsidRPr="00E2677A">
        <w:rPr>
          <w:rFonts w:ascii="Times New Roman" w:hAnsi="Times New Roman"/>
          <w:b/>
          <w:bCs/>
          <w:sz w:val="24"/>
        </w:rPr>
        <w:t>June 1, 2036:</w:t>
      </w:r>
      <w:r>
        <w:rPr>
          <w:rFonts w:ascii="Times New Roman" w:hAnsi="Times New Roman"/>
          <w:sz w:val="24"/>
        </w:rPr>
        <w:t xml:space="preserve"> meet BEPS interim standard </w:t>
      </w:r>
      <w:r w:rsidR="00E076AC">
        <w:rPr>
          <w:rFonts w:ascii="Times New Roman" w:hAnsi="Times New Roman"/>
          <w:sz w:val="24"/>
        </w:rPr>
        <w:t>2</w:t>
      </w:r>
      <w:r>
        <w:rPr>
          <w:rFonts w:ascii="Times New Roman" w:hAnsi="Times New Roman"/>
          <w:sz w:val="24"/>
        </w:rPr>
        <w:t xml:space="preserve"> for your properties </w:t>
      </w:r>
      <w:r w:rsidR="00813A11">
        <w:rPr>
          <w:rFonts w:ascii="Times New Roman" w:hAnsi="Times New Roman"/>
          <w:sz w:val="24"/>
        </w:rPr>
        <w:t xml:space="preserve">(or provide an equivalent alternative compliance payment) </w:t>
      </w:r>
      <w:r>
        <w:rPr>
          <w:rFonts w:ascii="Times New Roman" w:hAnsi="Times New Roman"/>
          <w:sz w:val="24"/>
        </w:rPr>
        <w:t>and complete third-party verification of your benchmarking submission to MDE for your properties over 35,000 square feet</w:t>
      </w:r>
      <w:r w:rsidR="00E076AC">
        <w:rPr>
          <w:rFonts w:ascii="Times New Roman" w:hAnsi="Times New Roman"/>
          <w:sz w:val="24"/>
        </w:rPr>
        <w:t xml:space="preserve"> using prior year data.</w:t>
      </w:r>
    </w:p>
    <w:p w14:paraId="5520E3AB" w14:textId="2213BF3A" w:rsidR="00E076AC" w:rsidRDefault="00E076AC" w:rsidP="00E076AC">
      <w:pPr>
        <w:pStyle w:val="ListParagraph"/>
        <w:numPr>
          <w:ilvl w:val="0"/>
          <w:numId w:val="18"/>
        </w:numPr>
        <w:rPr>
          <w:rFonts w:ascii="Times New Roman" w:hAnsi="Times New Roman"/>
          <w:sz w:val="24"/>
        </w:rPr>
      </w:pPr>
      <w:r w:rsidRPr="00F8196C">
        <w:rPr>
          <w:rFonts w:ascii="Times New Roman" w:hAnsi="Times New Roman"/>
          <w:b/>
          <w:bCs/>
          <w:sz w:val="24"/>
        </w:rPr>
        <w:t xml:space="preserve">June 1, </w:t>
      </w:r>
      <w:r w:rsidR="008D5935" w:rsidRPr="00F8196C">
        <w:rPr>
          <w:rFonts w:ascii="Times New Roman" w:hAnsi="Times New Roman"/>
          <w:b/>
          <w:bCs/>
          <w:sz w:val="24"/>
        </w:rPr>
        <w:t>2037</w:t>
      </w:r>
      <w:r w:rsidRPr="00F8196C">
        <w:rPr>
          <w:rFonts w:ascii="Times New Roman" w:hAnsi="Times New Roman"/>
          <w:b/>
          <w:bCs/>
          <w:sz w:val="24"/>
        </w:rPr>
        <w:t>-</w:t>
      </w:r>
      <w:r w:rsidR="008D5935" w:rsidRPr="00F8196C">
        <w:rPr>
          <w:rFonts w:ascii="Times New Roman" w:hAnsi="Times New Roman"/>
          <w:b/>
          <w:bCs/>
          <w:sz w:val="24"/>
        </w:rPr>
        <w:t>2040</w:t>
      </w:r>
      <w:r w:rsidRPr="00F8196C">
        <w:rPr>
          <w:rFonts w:ascii="Times New Roman" w:hAnsi="Times New Roman"/>
          <w:b/>
          <w:bCs/>
          <w:sz w:val="24"/>
        </w:rPr>
        <w:t>:</w:t>
      </w:r>
      <w:r>
        <w:rPr>
          <w:rFonts w:ascii="Times New Roman" w:hAnsi="Times New Roman"/>
          <w:sz w:val="24"/>
        </w:rPr>
        <w:t xml:space="preserve"> complete benchmarking submissions to MDE for your properties over 35,000 square feet using prior year data.</w:t>
      </w:r>
      <w:r w:rsidR="00176E96">
        <w:rPr>
          <w:rFonts w:ascii="Times New Roman" w:hAnsi="Times New Roman"/>
          <w:sz w:val="24"/>
        </w:rPr>
        <w:t xml:space="preserve"> </w:t>
      </w:r>
      <w:r w:rsidR="00176E96">
        <w:rPr>
          <w:rFonts w:ascii="Times New Roman" w:hAnsi="Times New Roman"/>
          <w:sz w:val="24"/>
        </w:rPr>
        <w:t xml:space="preserve">If necessary, provide alternative compliance payments for failure to meet interim standard </w:t>
      </w:r>
      <w:r w:rsidR="00176E96">
        <w:rPr>
          <w:rFonts w:ascii="Times New Roman" w:hAnsi="Times New Roman"/>
          <w:sz w:val="24"/>
        </w:rPr>
        <w:t>2</w:t>
      </w:r>
      <w:r w:rsidR="00176E96">
        <w:rPr>
          <w:rFonts w:ascii="Times New Roman" w:hAnsi="Times New Roman"/>
          <w:sz w:val="24"/>
        </w:rPr>
        <w:t>.</w:t>
      </w:r>
    </w:p>
    <w:p w14:paraId="69CAEEEF" w14:textId="2871F141" w:rsidR="00E076AC" w:rsidRDefault="00E076AC" w:rsidP="00E076AC">
      <w:pPr>
        <w:pStyle w:val="ListParagraph"/>
        <w:numPr>
          <w:ilvl w:val="0"/>
          <w:numId w:val="18"/>
        </w:numPr>
        <w:rPr>
          <w:rFonts w:ascii="Times New Roman" w:hAnsi="Times New Roman"/>
          <w:sz w:val="24"/>
        </w:rPr>
      </w:pPr>
      <w:r w:rsidRPr="00F8196C">
        <w:rPr>
          <w:rFonts w:ascii="Times New Roman" w:hAnsi="Times New Roman"/>
          <w:b/>
          <w:bCs/>
          <w:sz w:val="24"/>
        </w:rPr>
        <w:t xml:space="preserve">June 1, </w:t>
      </w:r>
      <w:r w:rsidR="008D5935" w:rsidRPr="00F8196C">
        <w:rPr>
          <w:rFonts w:ascii="Times New Roman" w:hAnsi="Times New Roman"/>
          <w:b/>
          <w:bCs/>
          <w:sz w:val="24"/>
        </w:rPr>
        <w:t>2041</w:t>
      </w:r>
      <w:r w:rsidRPr="00F8196C">
        <w:rPr>
          <w:rFonts w:ascii="Times New Roman" w:hAnsi="Times New Roman"/>
          <w:b/>
          <w:bCs/>
          <w:sz w:val="24"/>
        </w:rPr>
        <w:t>:</w:t>
      </w:r>
      <w:r>
        <w:rPr>
          <w:rFonts w:ascii="Times New Roman" w:hAnsi="Times New Roman"/>
          <w:sz w:val="24"/>
        </w:rPr>
        <w:t xml:space="preserve"> meet </w:t>
      </w:r>
      <w:r w:rsidR="00F8196C">
        <w:rPr>
          <w:rFonts w:ascii="Times New Roman" w:hAnsi="Times New Roman"/>
          <w:sz w:val="24"/>
        </w:rPr>
        <w:t>the final BEPS</w:t>
      </w:r>
      <w:r w:rsidR="00C94DF1">
        <w:rPr>
          <w:rFonts w:ascii="Times New Roman" w:hAnsi="Times New Roman"/>
          <w:sz w:val="24"/>
        </w:rPr>
        <w:t xml:space="preserve"> for your p</w:t>
      </w:r>
      <w:r>
        <w:rPr>
          <w:rFonts w:ascii="Times New Roman" w:hAnsi="Times New Roman"/>
          <w:sz w:val="24"/>
        </w:rPr>
        <w:t xml:space="preserve">roperties </w:t>
      </w:r>
      <w:r w:rsidR="00813A11">
        <w:rPr>
          <w:rFonts w:ascii="Times New Roman" w:hAnsi="Times New Roman"/>
          <w:sz w:val="24"/>
        </w:rPr>
        <w:t xml:space="preserve">(or provide an equivalent alternative compliance payment) </w:t>
      </w:r>
      <w:r>
        <w:rPr>
          <w:rFonts w:ascii="Times New Roman" w:hAnsi="Times New Roman"/>
          <w:sz w:val="24"/>
        </w:rPr>
        <w:t>and complete third-party verification of your benchmarking submission to MDE for your properties over 35,000 square feet using prior year data.</w:t>
      </w:r>
    </w:p>
    <w:p w14:paraId="748B6C90" w14:textId="7AF1C6A2" w:rsidR="00767ADA" w:rsidRDefault="00E076AC" w:rsidP="00E076AC">
      <w:pPr>
        <w:rPr>
          <w:rFonts w:ascii="Times New Roman" w:hAnsi="Times New Roman"/>
          <w:sz w:val="24"/>
        </w:rPr>
      </w:pPr>
      <w:r>
        <w:rPr>
          <w:rFonts w:ascii="Times New Roman" w:hAnsi="Times New Roman"/>
          <w:sz w:val="24"/>
        </w:rPr>
        <w:t>This same pattern</w:t>
      </w:r>
      <w:r w:rsidR="008D5935">
        <w:rPr>
          <w:rFonts w:ascii="Times New Roman" w:hAnsi="Times New Roman"/>
          <w:sz w:val="24"/>
        </w:rPr>
        <w:t xml:space="preserve"> is assumed to repeat after 2040</w:t>
      </w:r>
      <w:r w:rsidR="00C94DF1">
        <w:rPr>
          <w:rFonts w:ascii="Times New Roman" w:hAnsi="Times New Roman"/>
          <w:sz w:val="24"/>
        </w:rPr>
        <w:t xml:space="preserve">, and for clarity this timeline assumes that no alternative compliance strategies are </w:t>
      </w:r>
      <w:r w:rsidR="00E2677A">
        <w:rPr>
          <w:rFonts w:ascii="Times New Roman" w:hAnsi="Times New Roman"/>
          <w:sz w:val="24"/>
        </w:rPr>
        <w:t>taken. Alternative compliance strategies may change building-specific timelines.</w:t>
      </w:r>
    </w:p>
    <w:p w14:paraId="550AEECD" w14:textId="77777777" w:rsidR="00C94DF1" w:rsidRDefault="00C94DF1" w:rsidP="00E076AC">
      <w:pPr>
        <w:rPr>
          <w:rFonts w:ascii="Times New Roman" w:hAnsi="Times New Roman"/>
          <w:sz w:val="24"/>
        </w:rPr>
      </w:pPr>
    </w:p>
    <w:p w14:paraId="206F51BD" w14:textId="77777777" w:rsidR="00C94DF1" w:rsidRDefault="00C94DF1" w:rsidP="00E076AC">
      <w:pPr>
        <w:pBdr>
          <w:bottom w:val="single" w:sz="6" w:space="1" w:color="auto"/>
        </w:pBdr>
        <w:rPr>
          <w:rFonts w:ascii="Times New Roman" w:hAnsi="Times New Roman"/>
          <w:sz w:val="24"/>
        </w:rPr>
      </w:pPr>
    </w:p>
    <w:p w14:paraId="5D688255" w14:textId="78D41EED" w:rsidR="00E123AF" w:rsidRPr="00F03662" w:rsidRDefault="00E123AF" w:rsidP="00B90D81">
      <w:pPr>
        <w:rPr>
          <w:rFonts w:ascii="Times New Roman" w:hAnsi="Times New Roman"/>
          <w:sz w:val="24"/>
        </w:rPr>
      </w:pPr>
      <w:r>
        <w:rPr>
          <w:rFonts w:ascii="Times New Roman" w:hAnsi="Times New Roman"/>
          <w:sz w:val="24"/>
        </w:rPr>
        <w:t xml:space="preserve">Additional questions can be sent to AOBA’s Director of Sustainability Policy and Strategy, Chris Pendley, via </w:t>
      </w:r>
      <w:hyperlink r:id="rId14" w:history="1">
        <w:r w:rsidR="00287309" w:rsidRPr="00855088">
          <w:rPr>
            <w:rStyle w:val="Hyperlink"/>
            <w:rFonts w:ascii="Times New Roman" w:hAnsi="Times New Roman"/>
            <w:sz w:val="24"/>
          </w:rPr>
          <w:t>cpendley@aoba-metro.org</w:t>
        </w:r>
      </w:hyperlink>
      <w:r>
        <w:rPr>
          <w:rFonts w:ascii="Times New Roman" w:hAnsi="Times New Roman"/>
          <w:sz w:val="24"/>
        </w:rPr>
        <w:t>.</w:t>
      </w:r>
    </w:p>
    <w:sectPr w:rsidR="00E123AF" w:rsidRPr="00F03662" w:rsidSect="00C10BA1">
      <w:headerReference w:type="even" r:id="rId15"/>
      <w:headerReference w:type="default" r:id="rId16"/>
      <w:footerReference w:type="even" r:id="rId17"/>
      <w:footerReference w:type="default" r:id="rId18"/>
      <w:headerReference w:type="first" r:id="rId19"/>
      <w:footerReference w:type="first" r:id="rId20"/>
      <w:pgSz w:w="12240" w:h="15840"/>
      <w:pgMar w:top="2700" w:right="720" w:bottom="1627" w:left="720" w:header="720" w:footer="1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B049C" w14:textId="77777777" w:rsidR="00111359" w:rsidRDefault="00111359">
      <w:r>
        <w:separator/>
      </w:r>
    </w:p>
  </w:endnote>
  <w:endnote w:type="continuationSeparator" w:id="0">
    <w:p w14:paraId="1909C42A" w14:textId="77777777" w:rsidR="00111359" w:rsidRDefault="00111359">
      <w:r>
        <w:continuationSeparator/>
      </w:r>
    </w:p>
  </w:endnote>
  <w:endnote w:type="continuationNotice" w:id="1">
    <w:p w14:paraId="5F0AD1FB" w14:textId="77777777" w:rsidR="00111359" w:rsidRDefault="00111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E0DC3" w14:textId="77777777" w:rsidR="000D3E81" w:rsidRDefault="000D3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6FE76" w14:textId="0A8C9AA5" w:rsidR="004977AD" w:rsidRDefault="000B6453">
    <w:pPr>
      <w:pStyle w:val="Footer"/>
    </w:pPr>
    <w:r>
      <w:rPr>
        <w:noProof/>
      </w:rPr>
      <w:drawing>
        <wp:anchor distT="0" distB="0" distL="114300" distR="114300" simplePos="0" relativeHeight="251658240" behindDoc="1" locked="0" layoutInCell="1" allowOverlap="1" wp14:anchorId="3DFBBB38" wp14:editId="4A608090">
          <wp:simplePos x="0" y="0"/>
          <wp:positionH relativeFrom="column">
            <wp:posOffset>4819</wp:posOffset>
          </wp:positionH>
          <wp:positionV relativeFrom="page">
            <wp:posOffset>9163685</wp:posOffset>
          </wp:positionV>
          <wp:extent cx="7236460" cy="614680"/>
          <wp:effectExtent l="0" t="0" r="254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1">
                    <a:extLst>
                      <a:ext uri="{28A0092B-C50C-407E-A947-70E740481C1C}">
                        <a14:useLocalDpi xmlns:a14="http://schemas.microsoft.com/office/drawing/2010/main" val="0"/>
                      </a:ext>
                    </a:extLst>
                  </a:blip>
                  <a:srcRect t="13271"/>
                  <a:stretch/>
                </pic:blipFill>
                <pic:spPr bwMode="auto">
                  <a:xfrm>
                    <a:off x="0" y="0"/>
                    <a:ext cx="7236460" cy="614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1" locked="0" layoutInCell="1" allowOverlap="1" wp14:anchorId="760AF4FD" wp14:editId="4D72D2C7">
              <wp:simplePos x="0" y="0"/>
              <wp:positionH relativeFrom="column">
                <wp:posOffset>0</wp:posOffset>
              </wp:positionH>
              <wp:positionV relativeFrom="page">
                <wp:posOffset>9140227</wp:posOffset>
              </wp:positionV>
              <wp:extent cx="6978650" cy="0"/>
              <wp:effectExtent l="0" t="0" r="6350" b="12700"/>
              <wp:wrapTight wrapText="bothSides">
                <wp:wrapPolygon edited="0">
                  <wp:start x="0" y="-1"/>
                  <wp:lineTo x="0" y="-1"/>
                  <wp:lineTo x="21580" y="-1"/>
                  <wp:lineTo x="21580" y="-1"/>
                  <wp:lineTo x="0" y="-1"/>
                </wp:wrapPolygon>
              </wp:wrapTight>
              <wp:docPr id="2031352820" name="Straight Connector 9"/>
              <wp:cNvGraphicFramePr/>
              <a:graphic xmlns:a="http://schemas.openxmlformats.org/drawingml/2006/main">
                <a:graphicData uri="http://schemas.microsoft.com/office/word/2010/wordprocessingShape">
                  <wps:wsp>
                    <wps:cNvCnPr/>
                    <wps:spPr>
                      <a:xfrm flipV="1">
                        <a:off x="0" y="0"/>
                        <a:ext cx="6978650" cy="0"/>
                      </a:xfrm>
                      <a:prstGeom prst="line">
                        <a:avLst/>
                      </a:prstGeom>
                      <a:ln w="63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953BFF0" id="Straight Connector 9"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719.7pt" to="549.5pt,7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" strokecolor="#c00000" strokeweight=".5pt">
              <v:stroke joinstyle="miter"/>
              <w10:wrap type="tight"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D040C" w14:textId="77777777" w:rsidR="000D3E81" w:rsidRDefault="000D3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5EE3A" w14:textId="77777777" w:rsidR="00111359" w:rsidRDefault="00111359">
      <w:r>
        <w:separator/>
      </w:r>
    </w:p>
  </w:footnote>
  <w:footnote w:type="continuationSeparator" w:id="0">
    <w:p w14:paraId="48E76866" w14:textId="77777777" w:rsidR="00111359" w:rsidRDefault="00111359">
      <w:r>
        <w:continuationSeparator/>
      </w:r>
    </w:p>
  </w:footnote>
  <w:footnote w:type="continuationNotice" w:id="1">
    <w:p w14:paraId="517B9E61" w14:textId="77777777" w:rsidR="00111359" w:rsidRDefault="001113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2ED36" w14:textId="77777777" w:rsidR="000D3E81" w:rsidRDefault="000D3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BA89" w14:textId="7EFB21AA" w:rsidR="000B6453" w:rsidRDefault="00530A36" w:rsidP="000B6453">
    <w:pPr>
      <w:pStyle w:val="Header"/>
      <w:ind w:firstLine="720"/>
    </w:pPr>
    <w:r>
      <w:rPr>
        <w:noProof/>
      </w:rPr>
      <w:drawing>
        <wp:anchor distT="0" distB="0" distL="114300" distR="114300" simplePos="0" relativeHeight="251658241" behindDoc="1" locked="0" layoutInCell="1" allowOverlap="1" wp14:anchorId="41258BE1" wp14:editId="539091E3">
          <wp:simplePos x="0" y="0"/>
          <wp:positionH relativeFrom="margin">
            <wp:align>left</wp:align>
          </wp:positionH>
          <wp:positionV relativeFrom="paragraph">
            <wp:posOffset>-95250</wp:posOffset>
          </wp:positionV>
          <wp:extent cx="6743700" cy="935990"/>
          <wp:effectExtent l="0" t="0" r="0" b="0"/>
          <wp:wrapTight wrapText="bothSides">
            <wp:wrapPolygon edited="0">
              <wp:start x="0" y="0"/>
              <wp:lineTo x="0" y="21102"/>
              <wp:lineTo x="21539" y="21102"/>
              <wp:lineTo x="21539" y="0"/>
              <wp:lineTo x="0" y="0"/>
            </wp:wrapPolygon>
          </wp:wrapTight>
          <wp:docPr id="6689657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96571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6743700" cy="9359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C3C50" w14:textId="77777777" w:rsidR="000D3E81" w:rsidRDefault="000D3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10387"/>
    <w:multiLevelType w:val="hybridMultilevel"/>
    <w:tmpl w:val="4F608C2C"/>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563ED"/>
    <w:multiLevelType w:val="hybridMultilevel"/>
    <w:tmpl w:val="648237A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3C02A4"/>
    <w:multiLevelType w:val="hybridMultilevel"/>
    <w:tmpl w:val="D4E03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C6269"/>
    <w:multiLevelType w:val="hybridMultilevel"/>
    <w:tmpl w:val="21A8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1668E"/>
    <w:multiLevelType w:val="hybridMultilevel"/>
    <w:tmpl w:val="24AADB7A"/>
    <w:lvl w:ilvl="0" w:tplc="6554D032">
      <w:start w:val="1"/>
      <w:numFmt w:val="bullet"/>
      <w:lvlText w:val="-"/>
      <w:lvlJc w:val="left"/>
      <w:pPr>
        <w:tabs>
          <w:tab w:val="num" w:pos="720"/>
        </w:tabs>
        <w:ind w:left="720" w:hanging="360"/>
      </w:pPr>
      <w:rPr>
        <w:rFonts w:ascii="Times New Roman" w:hAnsi="Times New Roman" w:hint="default"/>
      </w:rPr>
    </w:lvl>
    <w:lvl w:ilvl="1" w:tplc="9920CB26" w:tentative="1">
      <w:start w:val="1"/>
      <w:numFmt w:val="bullet"/>
      <w:lvlText w:val="-"/>
      <w:lvlJc w:val="left"/>
      <w:pPr>
        <w:tabs>
          <w:tab w:val="num" w:pos="1440"/>
        </w:tabs>
        <w:ind w:left="1440" w:hanging="360"/>
      </w:pPr>
      <w:rPr>
        <w:rFonts w:ascii="Times New Roman" w:hAnsi="Times New Roman" w:hint="default"/>
      </w:rPr>
    </w:lvl>
    <w:lvl w:ilvl="2" w:tplc="F7401856" w:tentative="1">
      <w:start w:val="1"/>
      <w:numFmt w:val="bullet"/>
      <w:lvlText w:val="-"/>
      <w:lvlJc w:val="left"/>
      <w:pPr>
        <w:tabs>
          <w:tab w:val="num" w:pos="2160"/>
        </w:tabs>
        <w:ind w:left="2160" w:hanging="360"/>
      </w:pPr>
      <w:rPr>
        <w:rFonts w:ascii="Times New Roman" w:hAnsi="Times New Roman" w:hint="default"/>
      </w:rPr>
    </w:lvl>
    <w:lvl w:ilvl="3" w:tplc="ED30D83A" w:tentative="1">
      <w:start w:val="1"/>
      <w:numFmt w:val="bullet"/>
      <w:lvlText w:val="-"/>
      <w:lvlJc w:val="left"/>
      <w:pPr>
        <w:tabs>
          <w:tab w:val="num" w:pos="2880"/>
        </w:tabs>
        <w:ind w:left="2880" w:hanging="360"/>
      </w:pPr>
      <w:rPr>
        <w:rFonts w:ascii="Times New Roman" w:hAnsi="Times New Roman" w:hint="default"/>
      </w:rPr>
    </w:lvl>
    <w:lvl w:ilvl="4" w:tplc="A78298DE" w:tentative="1">
      <w:start w:val="1"/>
      <w:numFmt w:val="bullet"/>
      <w:lvlText w:val="-"/>
      <w:lvlJc w:val="left"/>
      <w:pPr>
        <w:tabs>
          <w:tab w:val="num" w:pos="3600"/>
        </w:tabs>
        <w:ind w:left="3600" w:hanging="360"/>
      </w:pPr>
      <w:rPr>
        <w:rFonts w:ascii="Times New Roman" w:hAnsi="Times New Roman" w:hint="default"/>
      </w:rPr>
    </w:lvl>
    <w:lvl w:ilvl="5" w:tplc="ED185FB2" w:tentative="1">
      <w:start w:val="1"/>
      <w:numFmt w:val="bullet"/>
      <w:lvlText w:val="-"/>
      <w:lvlJc w:val="left"/>
      <w:pPr>
        <w:tabs>
          <w:tab w:val="num" w:pos="4320"/>
        </w:tabs>
        <w:ind w:left="4320" w:hanging="360"/>
      </w:pPr>
      <w:rPr>
        <w:rFonts w:ascii="Times New Roman" w:hAnsi="Times New Roman" w:hint="default"/>
      </w:rPr>
    </w:lvl>
    <w:lvl w:ilvl="6" w:tplc="A3C2E306" w:tentative="1">
      <w:start w:val="1"/>
      <w:numFmt w:val="bullet"/>
      <w:lvlText w:val="-"/>
      <w:lvlJc w:val="left"/>
      <w:pPr>
        <w:tabs>
          <w:tab w:val="num" w:pos="5040"/>
        </w:tabs>
        <w:ind w:left="5040" w:hanging="360"/>
      </w:pPr>
      <w:rPr>
        <w:rFonts w:ascii="Times New Roman" w:hAnsi="Times New Roman" w:hint="default"/>
      </w:rPr>
    </w:lvl>
    <w:lvl w:ilvl="7" w:tplc="216CB668" w:tentative="1">
      <w:start w:val="1"/>
      <w:numFmt w:val="bullet"/>
      <w:lvlText w:val="-"/>
      <w:lvlJc w:val="left"/>
      <w:pPr>
        <w:tabs>
          <w:tab w:val="num" w:pos="5760"/>
        </w:tabs>
        <w:ind w:left="5760" w:hanging="360"/>
      </w:pPr>
      <w:rPr>
        <w:rFonts w:ascii="Times New Roman" w:hAnsi="Times New Roman" w:hint="default"/>
      </w:rPr>
    </w:lvl>
    <w:lvl w:ilvl="8" w:tplc="33C46A2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40D74C5"/>
    <w:multiLevelType w:val="hybridMultilevel"/>
    <w:tmpl w:val="F828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408AB"/>
    <w:multiLevelType w:val="hybridMultilevel"/>
    <w:tmpl w:val="9418E210"/>
    <w:lvl w:ilvl="0" w:tplc="0A4A1112">
      <w:start w:val="1"/>
      <w:numFmt w:val="bullet"/>
      <w:lvlText w:val="•"/>
      <w:lvlJc w:val="left"/>
      <w:pPr>
        <w:tabs>
          <w:tab w:val="num" w:pos="720"/>
        </w:tabs>
        <w:ind w:left="720" w:hanging="360"/>
      </w:pPr>
      <w:rPr>
        <w:rFonts w:ascii="Arial" w:hAnsi="Arial" w:hint="default"/>
      </w:rPr>
    </w:lvl>
    <w:lvl w:ilvl="1" w:tplc="26B09AA4" w:tentative="1">
      <w:start w:val="1"/>
      <w:numFmt w:val="bullet"/>
      <w:lvlText w:val="•"/>
      <w:lvlJc w:val="left"/>
      <w:pPr>
        <w:tabs>
          <w:tab w:val="num" w:pos="1440"/>
        </w:tabs>
        <w:ind w:left="1440" w:hanging="360"/>
      </w:pPr>
      <w:rPr>
        <w:rFonts w:ascii="Arial" w:hAnsi="Arial" w:hint="default"/>
      </w:rPr>
    </w:lvl>
    <w:lvl w:ilvl="2" w:tplc="FFC612EE" w:tentative="1">
      <w:start w:val="1"/>
      <w:numFmt w:val="bullet"/>
      <w:lvlText w:val="•"/>
      <w:lvlJc w:val="left"/>
      <w:pPr>
        <w:tabs>
          <w:tab w:val="num" w:pos="2160"/>
        </w:tabs>
        <w:ind w:left="2160" w:hanging="360"/>
      </w:pPr>
      <w:rPr>
        <w:rFonts w:ascii="Arial" w:hAnsi="Arial" w:hint="default"/>
      </w:rPr>
    </w:lvl>
    <w:lvl w:ilvl="3" w:tplc="B8DA0D9C" w:tentative="1">
      <w:start w:val="1"/>
      <w:numFmt w:val="bullet"/>
      <w:lvlText w:val="•"/>
      <w:lvlJc w:val="left"/>
      <w:pPr>
        <w:tabs>
          <w:tab w:val="num" w:pos="2880"/>
        </w:tabs>
        <w:ind w:left="2880" w:hanging="360"/>
      </w:pPr>
      <w:rPr>
        <w:rFonts w:ascii="Arial" w:hAnsi="Arial" w:hint="default"/>
      </w:rPr>
    </w:lvl>
    <w:lvl w:ilvl="4" w:tplc="7770A580" w:tentative="1">
      <w:start w:val="1"/>
      <w:numFmt w:val="bullet"/>
      <w:lvlText w:val="•"/>
      <w:lvlJc w:val="left"/>
      <w:pPr>
        <w:tabs>
          <w:tab w:val="num" w:pos="3600"/>
        </w:tabs>
        <w:ind w:left="3600" w:hanging="360"/>
      </w:pPr>
      <w:rPr>
        <w:rFonts w:ascii="Arial" w:hAnsi="Arial" w:hint="default"/>
      </w:rPr>
    </w:lvl>
    <w:lvl w:ilvl="5" w:tplc="A70AA296" w:tentative="1">
      <w:start w:val="1"/>
      <w:numFmt w:val="bullet"/>
      <w:lvlText w:val="•"/>
      <w:lvlJc w:val="left"/>
      <w:pPr>
        <w:tabs>
          <w:tab w:val="num" w:pos="4320"/>
        </w:tabs>
        <w:ind w:left="4320" w:hanging="360"/>
      </w:pPr>
      <w:rPr>
        <w:rFonts w:ascii="Arial" w:hAnsi="Arial" w:hint="default"/>
      </w:rPr>
    </w:lvl>
    <w:lvl w:ilvl="6" w:tplc="CC485D20" w:tentative="1">
      <w:start w:val="1"/>
      <w:numFmt w:val="bullet"/>
      <w:lvlText w:val="•"/>
      <w:lvlJc w:val="left"/>
      <w:pPr>
        <w:tabs>
          <w:tab w:val="num" w:pos="5040"/>
        </w:tabs>
        <w:ind w:left="5040" w:hanging="360"/>
      </w:pPr>
      <w:rPr>
        <w:rFonts w:ascii="Arial" w:hAnsi="Arial" w:hint="default"/>
      </w:rPr>
    </w:lvl>
    <w:lvl w:ilvl="7" w:tplc="297836B8" w:tentative="1">
      <w:start w:val="1"/>
      <w:numFmt w:val="bullet"/>
      <w:lvlText w:val="•"/>
      <w:lvlJc w:val="left"/>
      <w:pPr>
        <w:tabs>
          <w:tab w:val="num" w:pos="5760"/>
        </w:tabs>
        <w:ind w:left="5760" w:hanging="360"/>
      </w:pPr>
      <w:rPr>
        <w:rFonts w:ascii="Arial" w:hAnsi="Arial" w:hint="default"/>
      </w:rPr>
    </w:lvl>
    <w:lvl w:ilvl="8" w:tplc="A044DA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595395"/>
    <w:multiLevelType w:val="hybridMultilevel"/>
    <w:tmpl w:val="39865B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9B49D9"/>
    <w:multiLevelType w:val="hybridMultilevel"/>
    <w:tmpl w:val="9A4A7F06"/>
    <w:lvl w:ilvl="0" w:tplc="7604F26E">
      <w:start w:val="1"/>
      <w:numFmt w:val="decimal"/>
      <w:lvlText w:val="%1."/>
      <w:lvlJc w:val="left"/>
      <w:pPr>
        <w:tabs>
          <w:tab w:val="num" w:pos="720"/>
        </w:tabs>
        <w:ind w:left="720" w:hanging="360"/>
      </w:pPr>
    </w:lvl>
    <w:lvl w:ilvl="1" w:tplc="2B28E846">
      <w:start w:val="1"/>
      <w:numFmt w:val="decimal"/>
      <w:lvlText w:val="%2."/>
      <w:lvlJc w:val="left"/>
      <w:pPr>
        <w:tabs>
          <w:tab w:val="num" w:pos="1440"/>
        </w:tabs>
        <w:ind w:left="1440" w:hanging="360"/>
      </w:pPr>
    </w:lvl>
    <w:lvl w:ilvl="2" w:tplc="7D6E49F0" w:tentative="1">
      <w:start w:val="1"/>
      <w:numFmt w:val="decimal"/>
      <w:lvlText w:val="%3."/>
      <w:lvlJc w:val="left"/>
      <w:pPr>
        <w:tabs>
          <w:tab w:val="num" w:pos="2160"/>
        </w:tabs>
        <w:ind w:left="2160" w:hanging="360"/>
      </w:pPr>
    </w:lvl>
    <w:lvl w:ilvl="3" w:tplc="03982C40" w:tentative="1">
      <w:start w:val="1"/>
      <w:numFmt w:val="decimal"/>
      <w:lvlText w:val="%4."/>
      <w:lvlJc w:val="left"/>
      <w:pPr>
        <w:tabs>
          <w:tab w:val="num" w:pos="2880"/>
        </w:tabs>
        <w:ind w:left="2880" w:hanging="360"/>
      </w:pPr>
    </w:lvl>
    <w:lvl w:ilvl="4" w:tplc="0422011E" w:tentative="1">
      <w:start w:val="1"/>
      <w:numFmt w:val="decimal"/>
      <w:lvlText w:val="%5."/>
      <w:lvlJc w:val="left"/>
      <w:pPr>
        <w:tabs>
          <w:tab w:val="num" w:pos="3600"/>
        </w:tabs>
        <w:ind w:left="3600" w:hanging="360"/>
      </w:pPr>
    </w:lvl>
    <w:lvl w:ilvl="5" w:tplc="4DC85C46" w:tentative="1">
      <w:start w:val="1"/>
      <w:numFmt w:val="decimal"/>
      <w:lvlText w:val="%6."/>
      <w:lvlJc w:val="left"/>
      <w:pPr>
        <w:tabs>
          <w:tab w:val="num" w:pos="4320"/>
        </w:tabs>
        <w:ind w:left="4320" w:hanging="360"/>
      </w:pPr>
    </w:lvl>
    <w:lvl w:ilvl="6" w:tplc="68CE0AEA" w:tentative="1">
      <w:start w:val="1"/>
      <w:numFmt w:val="decimal"/>
      <w:lvlText w:val="%7."/>
      <w:lvlJc w:val="left"/>
      <w:pPr>
        <w:tabs>
          <w:tab w:val="num" w:pos="5040"/>
        </w:tabs>
        <w:ind w:left="5040" w:hanging="360"/>
      </w:pPr>
    </w:lvl>
    <w:lvl w:ilvl="7" w:tplc="11D8F38C" w:tentative="1">
      <w:start w:val="1"/>
      <w:numFmt w:val="decimal"/>
      <w:lvlText w:val="%8."/>
      <w:lvlJc w:val="left"/>
      <w:pPr>
        <w:tabs>
          <w:tab w:val="num" w:pos="5760"/>
        </w:tabs>
        <w:ind w:left="5760" w:hanging="360"/>
      </w:pPr>
    </w:lvl>
    <w:lvl w:ilvl="8" w:tplc="E812AA54" w:tentative="1">
      <w:start w:val="1"/>
      <w:numFmt w:val="decimal"/>
      <w:lvlText w:val="%9."/>
      <w:lvlJc w:val="left"/>
      <w:pPr>
        <w:tabs>
          <w:tab w:val="num" w:pos="6480"/>
        </w:tabs>
        <w:ind w:left="6480" w:hanging="360"/>
      </w:pPr>
    </w:lvl>
  </w:abstractNum>
  <w:abstractNum w:abstractNumId="9" w15:restartNumberingAfterBreak="0">
    <w:nsid w:val="2473057E"/>
    <w:multiLevelType w:val="hybridMultilevel"/>
    <w:tmpl w:val="C1E62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7E1CBB"/>
    <w:multiLevelType w:val="hybridMultilevel"/>
    <w:tmpl w:val="39865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340DFE"/>
    <w:multiLevelType w:val="hybridMultilevel"/>
    <w:tmpl w:val="F22A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F5D1A"/>
    <w:multiLevelType w:val="hybridMultilevel"/>
    <w:tmpl w:val="01DE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01554E"/>
    <w:multiLevelType w:val="hybridMultilevel"/>
    <w:tmpl w:val="318072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7">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01C1761"/>
    <w:multiLevelType w:val="hybridMultilevel"/>
    <w:tmpl w:val="16E46E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782E7F"/>
    <w:multiLevelType w:val="hybridMultilevel"/>
    <w:tmpl w:val="D76CCC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4A24F9"/>
    <w:multiLevelType w:val="hybridMultilevel"/>
    <w:tmpl w:val="2A8A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6702AF"/>
    <w:multiLevelType w:val="hybridMultilevel"/>
    <w:tmpl w:val="3E524396"/>
    <w:lvl w:ilvl="0" w:tplc="216EED50">
      <w:start w:val="1"/>
      <w:numFmt w:val="bullet"/>
      <w:lvlText w:val="-"/>
      <w:lvlJc w:val="left"/>
      <w:pPr>
        <w:tabs>
          <w:tab w:val="num" w:pos="720"/>
        </w:tabs>
        <w:ind w:left="720" w:hanging="360"/>
      </w:pPr>
      <w:rPr>
        <w:rFonts w:ascii="Times New Roman" w:hAnsi="Times New Roman" w:hint="default"/>
      </w:rPr>
    </w:lvl>
    <w:lvl w:ilvl="1" w:tplc="96A6DDC8" w:tentative="1">
      <w:start w:val="1"/>
      <w:numFmt w:val="bullet"/>
      <w:lvlText w:val="-"/>
      <w:lvlJc w:val="left"/>
      <w:pPr>
        <w:tabs>
          <w:tab w:val="num" w:pos="1440"/>
        </w:tabs>
        <w:ind w:left="1440" w:hanging="360"/>
      </w:pPr>
      <w:rPr>
        <w:rFonts w:ascii="Times New Roman" w:hAnsi="Times New Roman" w:hint="default"/>
      </w:rPr>
    </w:lvl>
    <w:lvl w:ilvl="2" w:tplc="FA008586" w:tentative="1">
      <w:start w:val="1"/>
      <w:numFmt w:val="bullet"/>
      <w:lvlText w:val="-"/>
      <w:lvlJc w:val="left"/>
      <w:pPr>
        <w:tabs>
          <w:tab w:val="num" w:pos="2160"/>
        </w:tabs>
        <w:ind w:left="2160" w:hanging="360"/>
      </w:pPr>
      <w:rPr>
        <w:rFonts w:ascii="Times New Roman" w:hAnsi="Times New Roman" w:hint="default"/>
      </w:rPr>
    </w:lvl>
    <w:lvl w:ilvl="3" w:tplc="DCEA814A" w:tentative="1">
      <w:start w:val="1"/>
      <w:numFmt w:val="bullet"/>
      <w:lvlText w:val="-"/>
      <w:lvlJc w:val="left"/>
      <w:pPr>
        <w:tabs>
          <w:tab w:val="num" w:pos="2880"/>
        </w:tabs>
        <w:ind w:left="2880" w:hanging="360"/>
      </w:pPr>
      <w:rPr>
        <w:rFonts w:ascii="Times New Roman" w:hAnsi="Times New Roman" w:hint="default"/>
      </w:rPr>
    </w:lvl>
    <w:lvl w:ilvl="4" w:tplc="6214F13A" w:tentative="1">
      <w:start w:val="1"/>
      <w:numFmt w:val="bullet"/>
      <w:lvlText w:val="-"/>
      <w:lvlJc w:val="left"/>
      <w:pPr>
        <w:tabs>
          <w:tab w:val="num" w:pos="3600"/>
        </w:tabs>
        <w:ind w:left="3600" w:hanging="360"/>
      </w:pPr>
      <w:rPr>
        <w:rFonts w:ascii="Times New Roman" w:hAnsi="Times New Roman" w:hint="default"/>
      </w:rPr>
    </w:lvl>
    <w:lvl w:ilvl="5" w:tplc="D096C2A2" w:tentative="1">
      <w:start w:val="1"/>
      <w:numFmt w:val="bullet"/>
      <w:lvlText w:val="-"/>
      <w:lvlJc w:val="left"/>
      <w:pPr>
        <w:tabs>
          <w:tab w:val="num" w:pos="4320"/>
        </w:tabs>
        <w:ind w:left="4320" w:hanging="360"/>
      </w:pPr>
      <w:rPr>
        <w:rFonts w:ascii="Times New Roman" w:hAnsi="Times New Roman" w:hint="default"/>
      </w:rPr>
    </w:lvl>
    <w:lvl w:ilvl="6" w:tplc="74B49414" w:tentative="1">
      <w:start w:val="1"/>
      <w:numFmt w:val="bullet"/>
      <w:lvlText w:val="-"/>
      <w:lvlJc w:val="left"/>
      <w:pPr>
        <w:tabs>
          <w:tab w:val="num" w:pos="5040"/>
        </w:tabs>
        <w:ind w:left="5040" w:hanging="360"/>
      </w:pPr>
      <w:rPr>
        <w:rFonts w:ascii="Times New Roman" w:hAnsi="Times New Roman" w:hint="default"/>
      </w:rPr>
    </w:lvl>
    <w:lvl w:ilvl="7" w:tplc="65DC480A" w:tentative="1">
      <w:start w:val="1"/>
      <w:numFmt w:val="bullet"/>
      <w:lvlText w:val="-"/>
      <w:lvlJc w:val="left"/>
      <w:pPr>
        <w:tabs>
          <w:tab w:val="num" w:pos="5760"/>
        </w:tabs>
        <w:ind w:left="5760" w:hanging="360"/>
      </w:pPr>
      <w:rPr>
        <w:rFonts w:ascii="Times New Roman" w:hAnsi="Times New Roman" w:hint="default"/>
      </w:rPr>
    </w:lvl>
    <w:lvl w:ilvl="8" w:tplc="28CC910C" w:tentative="1">
      <w:start w:val="1"/>
      <w:numFmt w:val="bullet"/>
      <w:lvlText w:val="-"/>
      <w:lvlJc w:val="left"/>
      <w:pPr>
        <w:tabs>
          <w:tab w:val="num" w:pos="6480"/>
        </w:tabs>
        <w:ind w:left="6480" w:hanging="360"/>
      </w:pPr>
      <w:rPr>
        <w:rFonts w:ascii="Times New Roman" w:hAnsi="Times New Roman" w:hint="default"/>
      </w:rPr>
    </w:lvl>
  </w:abstractNum>
  <w:num w:numId="1" w16cid:durableId="2139956737">
    <w:abstractNumId w:val="14"/>
  </w:num>
  <w:num w:numId="2" w16cid:durableId="485978707">
    <w:abstractNumId w:val="16"/>
  </w:num>
  <w:num w:numId="3" w16cid:durableId="530610165">
    <w:abstractNumId w:val="9"/>
  </w:num>
  <w:num w:numId="4" w16cid:durableId="1103300030">
    <w:abstractNumId w:val="3"/>
  </w:num>
  <w:num w:numId="5" w16cid:durableId="1982031622">
    <w:abstractNumId w:val="11"/>
  </w:num>
  <w:num w:numId="6" w16cid:durableId="771363757">
    <w:abstractNumId w:val="2"/>
  </w:num>
  <w:num w:numId="7" w16cid:durableId="66924735">
    <w:abstractNumId w:val="12"/>
  </w:num>
  <w:num w:numId="8" w16cid:durableId="1213300313">
    <w:abstractNumId w:val="5"/>
  </w:num>
  <w:num w:numId="9" w16cid:durableId="1733847389">
    <w:abstractNumId w:val="15"/>
  </w:num>
  <w:num w:numId="10" w16cid:durableId="425228531">
    <w:abstractNumId w:val="13"/>
  </w:num>
  <w:num w:numId="11" w16cid:durableId="1442413917">
    <w:abstractNumId w:val="1"/>
  </w:num>
  <w:num w:numId="12" w16cid:durableId="2100829078">
    <w:abstractNumId w:val="8"/>
  </w:num>
  <w:num w:numId="13" w16cid:durableId="1813988099">
    <w:abstractNumId w:val="10"/>
  </w:num>
  <w:num w:numId="14" w16cid:durableId="719939038">
    <w:abstractNumId w:val="6"/>
  </w:num>
  <w:num w:numId="15" w16cid:durableId="74976546">
    <w:abstractNumId w:val="17"/>
  </w:num>
  <w:num w:numId="16" w16cid:durableId="2118743921">
    <w:abstractNumId w:val="4"/>
  </w:num>
  <w:num w:numId="17" w16cid:durableId="1162963860">
    <w:abstractNumId w:val="7"/>
  </w:num>
  <w:num w:numId="18" w16cid:durableId="2116711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2F8"/>
    <w:rsid w:val="00030AE1"/>
    <w:rsid w:val="00031410"/>
    <w:rsid w:val="0004414F"/>
    <w:rsid w:val="00050BA2"/>
    <w:rsid w:val="000552A4"/>
    <w:rsid w:val="00055DD4"/>
    <w:rsid w:val="0006623D"/>
    <w:rsid w:val="00081E09"/>
    <w:rsid w:val="000A160F"/>
    <w:rsid w:val="000A3851"/>
    <w:rsid w:val="000A7B5D"/>
    <w:rsid w:val="000B6453"/>
    <w:rsid w:val="000D1C59"/>
    <w:rsid w:val="000D3E81"/>
    <w:rsid w:val="000D7AFA"/>
    <w:rsid w:val="000E5D08"/>
    <w:rsid w:val="000E6A2B"/>
    <w:rsid w:val="000F0D68"/>
    <w:rsid w:val="000F7A53"/>
    <w:rsid w:val="00111359"/>
    <w:rsid w:val="00125F03"/>
    <w:rsid w:val="00130F16"/>
    <w:rsid w:val="00136238"/>
    <w:rsid w:val="001670F7"/>
    <w:rsid w:val="00176E96"/>
    <w:rsid w:val="00185F00"/>
    <w:rsid w:val="001975BF"/>
    <w:rsid w:val="001A30EB"/>
    <w:rsid w:val="001C696C"/>
    <w:rsid w:val="001D0367"/>
    <w:rsid w:val="00222749"/>
    <w:rsid w:val="00244611"/>
    <w:rsid w:val="00247E73"/>
    <w:rsid w:val="00251819"/>
    <w:rsid w:val="002573FF"/>
    <w:rsid w:val="00287309"/>
    <w:rsid w:val="002F5CAB"/>
    <w:rsid w:val="002F7965"/>
    <w:rsid w:val="00302FDB"/>
    <w:rsid w:val="00306AC7"/>
    <w:rsid w:val="003327E1"/>
    <w:rsid w:val="00346AA1"/>
    <w:rsid w:val="0036766C"/>
    <w:rsid w:val="003834D6"/>
    <w:rsid w:val="0038392E"/>
    <w:rsid w:val="00385877"/>
    <w:rsid w:val="003870C5"/>
    <w:rsid w:val="003A038C"/>
    <w:rsid w:val="003C4050"/>
    <w:rsid w:val="003D0CF2"/>
    <w:rsid w:val="00412BA9"/>
    <w:rsid w:val="00460445"/>
    <w:rsid w:val="004977AD"/>
    <w:rsid w:val="004A6470"/>
    <w:rsid w:val="004C1BBC"/>
    <w:rsid w:val="004C29E2"/>
    <w:rsid w:val="004E4110"/>
    <w:rsid w:val="00510D40"/>
    <w:rsid w:val="005129CA"/>
    <w:rsid w:val="005253CA"/>
    <w:rsid w:val="00525C15"/>
    <w:rsid w:val="00527D80"/>
    <w:rsid w:val="00530A36"/>
    <w:rsid w:val="0053773E"/>
    <w:rsid w:val="005402B9"/>
    <w:rsid w:val="00556CC5"/>
    <w:rsid w:val="00590725"/>
    <w:rsid w:val="00591577"/>
    <w:rsid w:val="005A0708"/>
    <w:rsid w:val="005B53CD"/>
    <w:rsid w:val="005C0DE3"/>
    <w:rsid w:val="005F0A2A"/>
    <w:rsid w:val="00637CEE"/>
    <w:rsid w:val="00670097"/>
    <w:rsid w:val="00671C3A"/>
    <w:rsid w:val="00672793"/>
    <w:rsid w:val="006940D5"/>
    <w:rsid w:val="006B357C"/>
    <w:rsid w:val="006D04D0"/>
    <w:rsid w:val="006D154A"/>
    <w:rsid w:val="00701E89"/>
    <w:rsid w:val="00740CF8"/>
    <w:rsid w:val="007439AC"/>
    <w:rsid w:val="00747CCB"/>
    <w:rsid w:val="00747F16"/>
    <w:rsid w:val="00751516"/>
    <w:rsid w:val="00753BE1"/>
    <w:rsid w:val="0075759A"/>
    <w:rsid w:val="00762A57"/>
    <w:rsid w:val="0076320C"/>
    <w:rsid w:val="00767ADA"/>
    <w:rsid w:val="00774DCC"/>
    <w:rsid w:val="00785CF1"/>
    <w:rsid w:val="007B0607"/>
    <w:rsid w:val="007E40DD"/>
    <w:rsid w:val="007F4F87"/>
    <w:rsid w:val="00803616"/>
    <w:rsid w:val="008054B5"/>
    <w:rsid w:val="00813A11"/>
    <w:rsid w:val="008278EE"/>
    <w:rsid w:val="0083377B"/>
    <w:rsid w:val="00847753"/>
    <w:rsid w:val="00863BDA"/>
    <w:rsid w:val="00872E6E"/>
    <w:rsid w:val="0087406D"/>
    <w:rsid w:val="008A029E"/>
    <w:rsid w:val="008A2711"/>
    <w:rsid w:val="008B5BAC"/>
    <w:rsid w:val="008D5935"/>
    <w:rsid w:val="008E179E"/>
    <w:rsid w:val="008E777F"/>
    <w:rsid w:val="008F02F8"/>
    <w:rsid w:val="008F3782"/>
    <w:rsid w:val="008F6030"/>
    <w:rsid w:val="00913AC5"/>
    <w:rsid w:val="00921B86"/>
    <w:rsid w:val="00922DF0"/>
    <w:rsid w:val="00925832"/>
    <w:rsid w:val="00946FD2"/>
    <w:rsid w:val="00952A02"/>
    <w:rsid w:val="00952A64"/>
    <w:rsid w:val="009741CE"/>
    <w:rsid w:val="00976337"/>
    <w:rsid w:val="00987E0A"/>
    <w:rsid w:val="009A2A9D"/>
    <w:rsid w:val="009A6F38"/>
    <w:rsid w:val="009B1F51"/>
    <w:rsid w:val="009B7BD9"/>
    <w:rsid w:val="009E2A64"/>
    <w:rsid w:val="00A0332F"/>
    <w:rsid w:val="00A06290"/>
    <w:rsid w:val="00A4723B"/>
    <w:rsid w:val="00A62403"/>
    <w:rsid w:val="00A63AC9"/>
    <w:rsid w:val="00A6674B"/>
    <w:rsid w:val="00A71746"/>
    <w:rsid w:val="00A86545"/>
    <w:rsid w:val="00A93A14"/>
    <w:rsid w:val="00AA24AB"/>
    <w:rsid w:val="00AC3798"/>
    <w:rsid w:val="00AD0470"/>
    <w:rsid w:val="00AE49CE"/>
    <w:rsid w:val="00AE56C1"/>
    <w:rsid w:val="00AF70F3"/>
    <w:rsid w:val="00B021EA"/>
    <w:rsid w:val="00B33C23"/>
    <w:rsid w:val="00B367C8"/>
    <w:rsid w:val="00B36DB2"/>
    <w:rsid w:val="00B51ABF"/>
    <w:rsid w:val="00B54E22"/>
    <w:rsid w:val="00B6061B"/>
    <w:rsid w:val="00B76E63"/>
    <w:rsid w:val="00B80056"/>
    <w:rsid w:val="00B81592"/>
    <w:rsid w:val="00B84264"/>
    <w:rsid w:val="00B90D81"/>
    <w:rsid w:val="00B9215D"/>
    <w:rsid w:val="00BB0D6E"/>
    <w:rsid w:val="00BE61B1"/>
    <w:rsid w:val="00BF0403"/>
    <w:rsid w:val="00C10BA1"/>
    <w:rsid w:val="00C1629F"/>
    <w:rsid w:val="00C306A7"/>
    <w:rsid w:val="00C30D75"/>
    <w:rsid w:val="00C349A5"/>
    <w:rsid w:val="00C54DC1"/>
    <w:rsid w:val="00C67313"/>
    <w:rsid w:val="00C736B0"/>
    <w:rsid w:val="00C94DF1"/>
    <w:rsid w:val="00C94FAC"/>
    <w:rsid w:val="00CA191A"/>
    <w:rsid w:val="00CC541A"/>
    <w:rsid w:val="00CC5CC6"/>
    <w:rsid w:val="00CC7433"/>
    <w:rsid w:val="00D046D2"/>
    <w:rsid w:val="00D14147"/>
    <w:rsid w:val="00D40335"/>
    <w:rsid w:val="00D40A3F"/>
    <w:rsid w:val="00D41F2B"/>
    <w:rsid w:val="00D622FB"/>
    <w:rsid w:val="00D63415"/>
    <w:rsid w:val="00D81FF8"/>
    <w:rsid w:val="00D92656"/>
    <w:rsid w:val="00DA0C4C"/>
    <w:rsid w:val="00DA2B6F"/>
    <w:rsid w:val="00DD3AAF"/>
    <w:rsid w:val="00DE2139"/>
    <w:rsid w:val="00DF46B3"/>
    <w:rsid w:val="00DF654B"/>
    <w:rsid w:val="00E03822"/>
    <w:rsid w:val="00E076AC"/>
    <w:rsid w:val="00E123AF"/>
    <w:rsid w:val="00E22CDE"/>
    <w:rsid w:val="00E2677A"/>
    <w:rsid w:val="00E32F6D"/>
    <w:rsid w:val="00E378B4"/>
    <w:rsid w:val="00E42F4A"/>
    <w:rsid w:val="00E57D52"/>
    <w:rsid w:val="00E779AA"/>
    <w:rsid w:val="00E90CCF"/>
    <w:rsid w:val="00E957FE"/>
    <w:rsid w:val="00E968D0"/>
    <w:rsid w:val="00EC0E3C"/>
    <w:rsid w:val="00EC19B0"/>
    <w:rsid w:val="00ED14C2"/>
    <w:rsid w:val="00EE6B40"/>
    <w:rsid w:val="00EF0A18"/>
    <w:rsid w:val="00EF1072"/>
    <w:rsid w:val="00F00011"/>
    <w:rsid w:val="00F03662"/>
    <w:rsid w:val="00F136F9"/>
    <w:rsid w:val="00F15CEC"/>
    <w:rsid w:val="00F22E18"/>
    <w:rsid w:val="00F3571B"/>
    <w:rsid w:val="00F35C9E"/>
    <w:rsid w:val="00F4613F"/>
    <w:rsid w:val="00F64DCD"/>
    <w:rsid w:val="00F677DF"/>
    <w:rsid w:val="00F8196C"/>
    <w:rsid w:val="00F91AAD"/>
    <w:rsid w:val="00FB1BB2"/>
    <w:rsid w:val="00FB511C"/>
    <w:rsid w:val="00FC7D4A"/>
    <w:rsid w:val="00FE2012"/>
    <w:rsid w:val="00FE6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C88F1"/>
  <w15:chartTrackingRefBased/>
  <w15:docId w15:val="{FF83B854-C73B-4A41-A57E-783E02DA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7313"/>
    <w:rPr>
      <w:rFonts w:ascii="Aptos" w:hAnsi="Aptos"/>
      <w:szCs w:val="24"/>
    </w:rPr>
  </w:style>
  <w:style w:type="paragraph" w:styleId="Heading1">
    <w:name w:val="heading 1"/>
    <w:basedOn w:val="Normal"/>
    <w:next w:val="Normal"/>
    <w:link w:val="Heading1Char"/>
    <w:qFormat/>
    <w:rsid w:val="00055D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9E2A64"/>
    <w:pPr>
      <w:keepNext/>
      <w:outlineLvl w:val="1"/>
    </w:pPr>
    <w:rPr>
      <w:rFonts w:ascii="Book Antiqua" w:hAnsi="Book Antiqua"/>
      <w:b/>
      <w:sz w:val="24"/>
      <w:szCs w:val="20"/>
    </w:rPr>
  </w:style>
  <w:style w:type="paragraph" w:styleId="Heading3">
    <w:name w:val="heading 3"/>
    <w:basedOn w:val="Normal"/>
    <w:next w:val="Normal"/>
    <w:link w:val="Heading3Char"/>
    <w:unhideWhenUsed/>
    <w:qFormat/>
    <w:rsid w:val="00BB0D6E"/>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nhideWhenUsed/>
    <w:qFormat/>
    <w:rsid w:val="00BB0D6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BB0D6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FB511C"/>
    <w:rPr>
      <w:color w:val="0000FF"/>
      <w:u w:val="single"/>
    </w:rPr>
  </w:style>
  <w:style w:type="character" w:customStyle="1" w:styleId="Heading2Char">
    <w:name w:val="Heading 2 Char"/>
    <w:link w:val="Heading2"/>
    <w:rsid w:val="009E2A64"/>
    <w:rPr>
      <w:rFonts w:ascii="Book Antiqua" w:hAnsi="Book Antiqua"/>
      <w:b/>
      <w:sz w:val="24"/>
    </w:rPr>
  </w:style>
  <w:style w:type="paragraph" w:styleId="ListParagraph">
    <w:name w:val="List Paragraph"/>
    <w:basedOn w:val="Normal"/>
    <w:uiPriority w:val="34"/>
    <w:qFormat/>
    <w:rsid w:val="006B357C"/>
    <w:pPr>
      <w:spacing w:after="160" w:line="259"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rsid w:val="00055D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BB0D6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BB0D6E"/>
    <w:rPr>
      <w:rFonts w:asciiTheme="majorHAnsi" w:eastAsiaTheme="majorEastAsia" w:hAnsiTheme="majorHAnsi" w:cstheme="majorBidi"/>
      <w:i/>
      <w:iCs/>
      <w:color w:val="2F5496" w:themeColor="accent1" w:themeShade="BF"/>
      <w:szCs w:val="24"/>
    </w:rPr>
  </w:style>
  <w:style w:type="character" w:customStyle="1" w:styleId="Heading5Char">
    <w:name w:val="Heading 5 Char"/>
    <w:basedOn w:val="DefaultParagraphFont"/>
    <w:link w:val="Heading5"/>
    <w:rsid w:val="00BB0D6E"/>
    <w:rPr>
      <w:rFonts w:asciiTheme="majorHAnsi" w:eastAsiaTheme="majorEastAsia" w:hAnsiTheme="majorHAnsi" w:cstheme="majorBidi"/>
      <w:color w:val="2F5496" w:themeColor="accent1" w:themeShade="BF"/>
      <w:szCs w:val="24"/>
    </w:rPr>
  </w:style>
  <w:style w:type="character" w:styleId="UnresolvedMention">
    <w:name w:val="Unresolved Mention"/>
    <w:basedOn w:val="DefaultParagraphFont"/>
    <w:uiPriority w:val="99"/>
    <w:semiHidden/>
    <w:unhideWhenUsed/>
    <w:rsid w:val="001C6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77063">
      <w:bodyDiv w:val="1"/>
      <w:marLeft w:val="0"/>
      <w:marRight w:val="0"/>
      <w:marTop w:val="0"/>
      <w:marBottom w:val="0"/>
      <w:divBdr>
        <w:top w:val="none" w:sz="0" w:space="0" w:color="auto"/>
        <w:left w:val="none" w:sz="0" w:space="0" w:color="auto"/>
        <w:bottom w:val="none" w:sz="0" w:space="0" w:color="auto"/>
        <w:right w:val="none" w:sz="0" w:space="0" w:color="auto"/>
      </w:divBdr>
    </w:div>
    <w:div w:id="839462284">
      <w:bodyDiv w:val="1"/>
      <w:marLeft w:val="0"/>
      <w:marRight w:val="0"/>
      <w:marTop w:val="0"/>
      <w:marBottom w:val="0"/>
      <w:divBdr>
        <w:top w:val="none" w:sz="0" w:space="0" w:color="auto"/>
        <w:left w:val="none" w:sz="0" w:space="0" w:color="auto"/>
        <w:bottom w:val="none" w:sz="0" w:space="0" w:color="auto"/>
        <w:right w:val="none" w:sz="0" w:space="0" w:color="auto"/>
      </w:divBdr>
      <w:divsChild>
        <w:div w:id="258025847">
          <w:marLeft w:val="360"/>
          <w:marRight w:val="0"/>
          <w:marTop w:val="200"/>
          <w:marBottom w:val="0"/>
          <w:divBdr>
            <w:top w:val="none" w:sz="0" w:space="0" w:color="auto"/>
            <w:left w:val="none" w:sz="0" w:space="0" w:color="auto"/>
            <w:bottom w:val="none" w:sz="0" w:space="0" w:color="auto"/>
            <w:right w:val="none" w:sz="0" w:space="0" w:color="auto"/>
          </w:divBdr>
        </w:div>
        <w:div w:id="546333336">
          <w:marLeft w:val="1080"/>
          <w:marRight w:val="0"/>
          <w:marTop w:val="100"/>
          <w:marBottom w:val="0"/>
          <w:divBdr>
            <w:top w:val="none" w:sz="0" w:space="0" w:color="auto"/>
            <w:left w:val="none" w:sz="0" w:space="0" w:color="auto"/>
            <w:bottom w:val="none" w:sz="0" w:space="0" w:color="auto"/>
            <w:right w:val="none" w:sz="0" w:space="0" w:color="auto"/>
          </w:divBdr>
        </w:div>
        <w:div w:id="841505920">
          <w:marLeft w:val="360"/>
          <w:marRight w:val="0"/>
          <w:marTop w:val="200"/>
          <w:marBottom w:val="0"/>
          <w:divBdr>
            <w:top w:val="none" w:sz="0" w:space="0" w:color="auto"/>
            <w:left w:val="none" w:sz="0" w:space="0" w:color="auto"/>
            <w:bottom w:val="none" w:sz="0" w:space="0" w:color="auto"/>
            <w:right w:val="none" w:sz="0" w:space="0" w:color="auto"/>
          </w:divBdr>
        </w:div>
        <w:div w:id="1006784620">
          <w:marLeft w:val="360"/>
          <w:marRight w:val="0"/>
          <w:marTop w:val="200"/>
          <w:marBottom w:val="0"/>
          <w:divBdr>
            <w:top w:val="none" w:sz="0" w:space="0" w:color="auto"/>
            <w:left w:val="none" w:sz="0" w:space="0" w:color="auto"/>
            <w:bottom w:val="none" w:sz="0" w:space="0" w:color="auto"/>
            <w:right w:val="none" w:sz="0" w:space="0" w:color="auto"/>
          </w:divBdr>
        </w:div>
        <w:div w:id="1349412171">
          <w:marLeft w:val="360"/>
          <w:marRight w:val="0"/>
          <w:marTop w:val="200"/>
          <w:marBottom w:val="0"/>
          <w:divBdr>
            <w:top w:val="none" w:sz="0" w:space="0" w:color="auto"/>
            <w:left w:val="none" w:sz="0" w:space="0" w:color="auto"/>
            <w:bottom w:val="none" w:sz="0" w:space="0" w:color="auto"/>
            <w:right w:val="none" w:sz="0" w:space="0" w:color="auto"/>
          </w:divBdr>
        </w:div>
        <w:div w:id="1801410511">
          <w:marLeft w:val="360"/>
          <w:marRight w:val="0"/>
          <w:marTop w:val="200"/>
          <w:marBottom w:val="0"/>
          <w:divBdr>
            <w:top w:val="none" w:sz="0" w:space="0" w:color="auto"/>
            <w:left w:val="none" w:sz="0" w:space="0" w:color="auto"/>
            <w:bottom w:val="none" w:sz="0" w:space="0" w:color="auto"/>
            <w:right w:val="none" w:sz="0" w:space="0" w:color="auto"/>
          </w:divBdr>
        </w:div>
      </w:divsChild>
    </w:div>
    <w:div w:id="1224298234">
      <w:bodyDiv w:val="1"/>
      <w:marLeft w:val="0"/>
      <w:marRight w:val="0"/>
      <w:marTop w:val="0"/>
      <w:marBottom w:val="0"/>
      <w:divBdr>
        <w:top w:val="none" w:sz="0" w:space="0" w:color="auto"/>
        <w:left w:val="none" w:sz="0" w:space="0" w:color="auto"/>
        <w:bottom w:val="none" w:sz="0" w:space="0" w:color="auto"/>
        <w:right w:val="none" w:sz="0" w:space="0" w:color="auto"/>
      </w:divBdr>
      <w:divsChild>
        <w:div w:id="861212111">
          <w:marLeft w:val="274"/>
          <w:marRight w:val="0"/>
          <w:marTop w:val="0"/>
          <w:marBottom w:val="0"/>
          <w:divBdr>
            <w:top w:val="none" w:sz="0" w:space="0" w:color="auto"/>
            <w:left w:val="none" w:sz="0" w:space="0" w:color="auto"/>
            <w:bottom w:val="none" w:sz="0" w:space="0" w:color="auto"/>
            <w:right w:val="none" w:sz="0" w:space="0" w:color="auto"/>
          </w:divBdr>
        </w:div>
      </w:divsChild>
    </w:div>
    <w:div w:id="1523855341">
      <w:bodyDiv w:val="1"/>
      <w:marLeft w:val="0"/>
      <w:marRight w:val="0"/>
      <w:marTop w:val="0"/>
      <w:marBottom w:val="0"/>
      <w:divBdr>
        <w:top w:val="none" w:sz="0" w:space="0" w:color="auto"/>
        <w:left w:val="none" w:sz="0" w:space="0" w:color="auto"/>
        <w:bottom w:val="none" w:sz="0" w:space="0" w:color="auto"/>
        <w:right w:val="none" w:sz="0" w:space="0" w:color="auto"/>
      </w:divBdr>
      <w:divsChild>
        <w:div w:id="728501081">
          <w:marLeft w:val="274"/>
          <w:marRight w:val="0"/>
          <w:marTop w:val="0"/>
          <w:marBottom w:val="0"/>
          <w:divBdr>
            <w:top w:val="none" w:sz="0" w:space="0" w:color="auto"/>
            <w:left w:val="none" w:sz="0" w:space="0" w:color="auto"/>
            <w:bottom w:val="none" w:sz="0" w:space="0" w:color="auto"/>
            <w:right w:val="none" w:sz="0" w:space="0" w:color="auto"/>
          </w:divBdr>
        </w:div>
      </w:divsChild>
    </w:div>
    <w:div w:id="1937979372">
      <w:bodyDiv w:val="1"/>
      <w:marLeft w:val="0"/>
      <w:marRight w:val="0"/>
      <w:marTop w:val="0"/>
      <w:marBottom w:val="0"/>
      <w:divBdr>
        <w:top w:val="none" w:sz="0" w:space="0" w:color="auto"/>
        <w:left w:val="none" w:sz="0" w:space="0" w:color="auto"/>
        <w:bottom w:val="none" w:sz="0" w:space="0" w:color="auto"/>
        <w:right w:val="none" w:sz="0" w:space="0" w:color="auto"/>
      </w:divBdr>
      <w:divsChild>
        <w:div w:id="886797406">
          <w:marLeft w:val="360"/>
          <w:marRight w:val="0"/>
          <w:marTop w:val="200"/>
          <w:marBottom w:val="0"/>
          <w:divBdr>
            <w:top w:val="none" w:sz="0" w:space="0" w:color="auto"/>
            <w:left w:val="none" w:sz="0" w:space="0" w:color="auto"/>
            <w:bottom w:val="none" w:sz="0" w:space="0" w:color="auto"/>
            <w:right w:val="none" w:sz="0" w:space="0" w:color="auto"/>
          </w:divBdr>
        </w:div>
        <w:div w:id="1269777680">
          <w:marLeft w:val="360"/>
          <w:marRight w:val="0"/>
          <w:marTop w:val="200"/>
          <w:marBottom w:val="0"/>
          <w:divBdr>
            <w:top w:val="none" w:sz="0" w:space="0" w:color="auto"/>
            <w:left w:val="none" w:sz="0" w:space="0" w:color="auto"/>
            <w:bottom w:val="none" w:sz="0" w:space="0" w:color="auto"/>
            <w:right w:val="none" w:sz="0" w:space="0" w:color="auto"/>
          </w:divBdr>
        </w:div>
        <w:div w:id="208090360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galeg.maryland.gov/mgawebsite/laws/StatuteText?article=gen&amp;section=2-610&amp;enactments=False&amp;archived=False" TargetMode="External"/><Relationship Id="rId13" Type="http://schemas.openxmlformats.org/officeDocument/2006/relationships/hyperlink" Target="https://mde.maryland.gov/programs/air/ClimateChange/Documents/2025-01-15_BEPS_compliance_advisory.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pendley@aoba-metro.org" TargetMode="External"/><Relationship Id="rId12" Type="http://schemas.openxmlformats.org/officeDocument/2006/relationships/hyperlink" Target="https://mde.maryland.gov/programs/air/ClimateChange/Documents/Jan-2025_MD-BEPS_Benchmarking_Guide.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ntgomerycountymd.gov/DEP/Resources/Files/energy/commercial/Montgomery_County_Benchmarking_How_To.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ortfoliomanagerhelp.zendesk.com/hc/en-us/articles/30185781117979-What-should-I-include-in-my-GFA"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mgaleg.maryland.gov/mgawebsite/laws/StatuteText?article=gen&amp;section=2-610.1&amp;enactments=False&amp;archived=False" TargetMode="External"/><Relationship Id="rId14" Type="http://schemas.openxmlformats.org/officeDocument/2006/relationships/hyperlink" Target="mailto:cpendley@aoba-metro.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4</Pages>
  <Words>1479</Words>
  <Characters>8723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Jenn French Designs, LLC</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French</dc:creator>
  <cp:keywords/>
  <cp:lastModifiedBy>Chris Pendley</cp:lastModifiedBy>
  <cp:revision>98</cp:revision>
  <cp:lastPrinted>2008-08-04T16:29:00Z</cp:lastPrinted>
  <dcterms:created xsi:type="dcterms:W3CDTF">2024-01-30T17:50:00Z</dcterms:created>
  <dcterms:modified xsi:type="dcterms:W3CDTF">2025-04-30T17:36:00Z</dcterms:modified>
</cp:coreProperties>
</file>