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9A54" w14:textId="04537F33" w:rsidR="00064F2D" w:rsidRDefault="00064F2D" w:rsidP="008225F9">
      <w:pPr>
        <w:rPr>
          <w:rFonts w:ascii="Arial" w:hAnsi="Arial" w:cs="Arial"/>
          <w:color w:val="000000"/>
          <w:sz w:val="18"/>
          <w:szCs w:val="18"/>
        </w:rPr>
      </w:pPr>
      <w:r w:rsidRPr="00BE2338">
        <w:rPr>
          <w:rFonts w:eastAsia="Arial" w:cstheme="minorHAnsi"/>
          <w:i/>
          <w:iCs/>
          <w:sz w:val="20"/>
          <w:szCs w:val="20"/>
        </w:rPr>
        <w:t xml:space="preserve">This Model </w:t>
      </w:r>
      <w:r>
        <w:rPr>
          <w:rFonts w:eastAsia="Arial" w:cstheme="minorHAnsi"/>
          <w:i/>
          <w:iCs/>
          <w:sz w:val="20"/>
          <w:szCs w:val="20"/>
        </w:rPr>
        <w:t xml:space="preserve">Letter of Intent </w:t>
      </w:r>
      <w:r w:rsidRPr="00BE2338">
        <w:rPr>
          <w:rFonts w:eastAsia="Arial" w:cstheme="minorHAnsi"/>
          <w:i/>
          <w:iCs/>
          <w:sz w:val="20"/>
          <w:szCs w:val="20"/>
        </w:rPr>
        <w:t xml:space="preserve">for Services is provided to ADMEI members for informational and educational purposes only and should not be substituted for legal advice.  In making this document available, ADMEI is not undertaking to render professional or other services for or on behalf of any person or entity.  Consult your legal counsel for guidance as laws may vary state by state.  While ADMEI strives for accuracy in this template, it makes no promises or warranties regarding the accuracy or usefulness of the template, and expressly disclaims any liability related to the use or reliability of information contained in the </w:t>
      </w:r>
      <w:r>
        <w:rPr>
          <w:rFonts w:cstheme="minorHAnsi"/>
          <w:i/>
          <w:iCs/>
          <w:sz w:val="20"/>
          <w:szCs w:val="20"/>
        </w:rPr>
        <w:t>templa</w:t>
      </w:r>
      <w:r w:rsidRPr="00BE2338">
        <w:rPr>
          <w:rFonts w:eastAsia="Arial" w:cstheme="minorHAnsi"/>
          <w:i/>
          <w:iCs/>
          <w:sz w:val="20"/>
          <w:szCs w:val="20"/>
        </w:rPr>
        <w:t>t</w:t>
      </w:r>
      <w:r>
        <w:rPr>
          <w:rFonts w:cstheme="minorHAnsi"/>
          <w:i/>
          <w:iCs/>
          <w:sz w:val="20"/>
          <w:szCs w:val="20"/>
        </w:rPr>
        <w:t>e</w:t>
      </w:r>
      <w:r w:rsidRPr="00BE2338">
        <w:rPr>
          <w:rFonts w:eastAsia="Arial" w:cstheme="minorHAnsi"/>
          <w:i/>
          <w:iCs/>
          <w:sz w:val="20"/>
          <w:szCs w:val="20"/>
        </w:rPr>
        <w:t xml:space="preserve">. ADME, its officers, directors, members, employees and agents cannot be held liable for the accuracy of this </w:t>
      </w:r>
      <w:proofErr w:type="gramStart"/>
      <w:r w:rsidRPr="00BE2338">
        <w:rPr>
          <w:rFonts w:eastAsia="Arial" w:cstheme="minorHAnsi"/>
          <w:i/>
          <w:iCs/>
          <w:sz w:val="20"/>
          <w:szCs w:val="20"/>
        </w:rPr>
        <w:t>template</w:t>
      </w:r>
      <w:proofErr w:type="gramEnd"/>
    </w:p>
    <w:p w14:paraId="66067544" w14:textId="77777777" w:rsidR="00064F2D" w:rsidRDefault="00064F2D" w:rsidP="008225F9">
      <w:pPr>
        <w:rPr>
          <w:rFonts w:ascii="Arial" w:hAnsi="Arial" w:cs="Arial"/>
          <w:color w:val="000000"/>
          <w:sz w:val="18"/>
          <w:szCs w:val="18"/>
        </w:rPr>
      </w:pPr>
    </w:p>
    <w:p w14:paraId="2F1C3F4C" w14:textId="7A994C06" w:rsidR="000E354A" w:rsidRDefault="000E354A" w:rsidP="008225F9">
      <w:pPr>
        <w:rPr>
          <w:rFonts w:ascii="Arial" w:hAnsi="Arial" w:cs="Arial"/>
          <w:color w:val="000000"/>
          <w:sz w:val="18"/>
          <w:szCs w:val="18"/>
        </w:rPr>
      </w:pPr>
      <w:r>
        <w:rPr>
          <w:rFonts w:ascii="Arial" w:hAnsi="Arial" w:cs="Arial"/>
          <w:color w:val="000000"/>
          <w:sz w:val="18"/>
          <w:szCs w:val="18"/>
        </w:rPr>
        <w:t>[</w:t>
      </w:r>
      <w:r w:rsidRPr="00D3255E">
        <w:rPr>
          <w:rFonts w:ascii="Arial" w:hAnsi="Arial" w:cs="Arial"/>
          <w:color w:val="000000"/>
          <w:sz w:val="18"/>
          <w:szCs w:val="18"/>
          <w:highlight w:val="yellow"/>
        </w:rPr>
        <w:t>DMC’</w:t>
      </w:r>
      <w:r>
        <w:rPr>
          <w:rFonts w:ascii="Arial" w:hAnsi="Arial" w:cs="Arial"/>
          <w:color w:val="000000"/>
          <w:sz w:val="18"/>
          <w:szCs w:val="18"/>
          <w:highlight w:val="yellow"/>
        </w:rPr>
        <w:t>s</w:t>
      </w:r>
      <w:r w:rsidRPr="00D3255E">
        <w:rPr>
          <w:rFonts w:ascii="Arial" w:hAnsi="Arial" w:cs="Arial"/>
          <w:color w:val="000000"/>
          <w:sz w:val="18"/>
          <w:szCs w:val="18"/>
          <w:highlight w:val="yellow"/>
        </w:rPr>
        <w:t xml:space="preserve"> LETTERHEAD</w:t>
      </w:r>
      <w:r>
        <w:rPr>
          <w:rFonts w:ascii="Arial" w:hAnsi="Arial" w:cs="Arial"/>
          <w:color w:val="000000"/>
          <w:sz w:val="18"/>
          <w:szCs w:val="18"/>
        </w:rPr>
        <w:t>]</w:t>
      </w:r>
    </w:p>
    <w:p w14:paraId="69B524B8" w14:textId="77777777" w:rsidR="000E354A" w:rsidRDefault="000E354A" w:rsidP="000E354A">
      <w:pPr>
        <w:widowControl w:val="0"/>
        <w:autoSpaceDE w:val="0"/>
        <w:autoSpaceDN w:val="0"/>
        <w:adjustRightInd w:val="0"/>
        <w:spacing w:after="0" w:line="240" w:lineRule="auto"/>
        <w:jc w:val="center"/>
        <w:rPr>
          <w:rFonts w:ascii="Arial" w:hAnsi="Arial" w:cs="Arial"/>
          <w:color w:val="000000"/>
          <w:sz w:val="18"/>
          <w:szCs w:val="18"/>
        </w:rPr>
      </w:pPr>
    </w:p>
    <w:p w14:paraId="654E8613"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sidRPr="00D3255E">
        <w:rPr>
          <w:rFonts w:ascii="Arial" w:hAnsi="Arial" w:cs="Arial"/>
          <w:color w:val="000000"/>
          <w:sz w:val="18"/>
          <w:szCs w:val="18"/>
          <w:highlight w:val="yellow"/>
        </w:rPr>
        <w:t>DATE</w:t>
      </w:r>
      <w:r>
        <w:rPr>
          <w:rFonts w:ascii="Arial" w:hAnsi="Arial" w:cs="Arial"/>
          <w:color w:val="000000"/>
          <w:sz w:val="18"/>
          <w:szCs w:val="18"/>
        </w:rPr>
        <w:t>]</w:t>
      </w:r>
    </w:p>
    <w:p w14:paraId="107A81F0"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p>
    <w:p w14:paraId="46D79167"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sidRPr="00D3255E">
        <w:rPr>
          <w:rFonts w:ascii="Arial" w:hAnsi="Arial" w:cs="Arial"/>
          <w:color w:val="000000"/>
          <w:sz w:val="18"/>
          <w:szCs w:val="18"/>
          <w:highlight w:val="yellow"/>
        </w:rPr>
        <w:t>METHOD OF DELIVERY</w:t>
      </w:r>
      <w:r>
        <w:rPr>
          <w:rFonts w:ascii="Arial" w:hAnsi="Arial" w:cs="Arial"/>
          <w:color w:val="000000"/>
          <w:sz w:val="18"/>
          <w:szCs w:val="18"/>
        </w:rPr>
        <w:t>]</w:t>
      </w:r>
    </w:p>
    <w:p w14:paraId="56F2059E"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highlight w:val="yellow"/>
        </w:rPr>
        <w:t>CLIENT’S</w:t>
      </w:r>
      <w:r w:rsidRPr="00D3255E">
        <w:rPr>
          <w:rFonts w:ascii="Arial" w:hAnsi="Arial" w:cs="Arial"/>
          <w:color w:val="000000"/>
          <w:sz w:val="18"/>
          <w:szCs w:val="18"/>
          <w:highlight w:val="yellow"/>
        </w:rPr>
        <w:t xml:space="preserve"> NAME</w:t>
      </w:r>
      <w:r>
        <w:rPr>
          <w:rFonts w:ascii="Arial" w:hAnsi="Arial" w:cs="Arial"/>
          <w:color w:val="000000"/>
          <w:sz w:val="18"/>
          <w:szCs w:val="18"/>
        </w:rPr>
        <w:t>]</w:t>
      </w:r>
    </w:p>
    <w:p w14:paraId="1DCE5924"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highlight w:val="yellow"/>
        </w:rPr>
        <w:t>CLIENT’S</w:t>
      </w:r>
      <w:r w:rsidRPr="00D3255E">
        <w:rPr>
          <w:rFonts w:ascii="Arial" w:hAnsi="Arial" w:cs="Arial"/>
          <w:color w:val="000000"/>
          <w:sz w:val="18"/>
          <w:szCs w:val="18"/>
          <w:highlight w:val="yellow"/>
        </w:rPr>
        <w:t xml:space="preserve"> ADDRESS</w:t>
      </w:r>
      <w:r>
        <w:rPr>
          <w:rFonts w:ascii="Arial" w:hAnsi="Arial" w:cs="Arial"/>
          <w:color w:val="000000"/>
          <w:sz w:val="18"/>
          <w:szCs w:val="18"/>
        </w:rPr>
        <w:t>]</w:t>
      </w:r>
    </w:p>
    <w:p w14:paraId="103E6C49"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sidRPr="00D3255E">
        <w:rPr>
          <w:rFonts w:ascii="Arial" w:hAnsi="Arial" w:cs="Arial"/>
          <w:color w:val="000000"/>
          <w:sz w:val="18"/>
          <w:szCs w:val="18"/>
          <w:highlight w:val="yellow"/>
        </w:rPr>
        <w:t>Attn:</w:t>
      </w:r>
      <w:r>
        <w:rPr>
          <w:rFonts w:ascii="Arial" w:hAnsi="Arial" w:cs="Arial"/>
          <w:color w:val="000000"/>
          <w:sz w:val="18"/>
          <w:szCs w:val="18"/>
        </w:rPr>
        <w:t xml:space="preserve"> [</w:t>
      </w:r>
      <w:r w:rsidRPr="00D3255E">
        <w:rPr>
          <w:rFonts w:ascii="Arial" w:hAnsi="Arial" w:cs="Arial"/>
          <w:color w:val="000000"/>
          <w:sz w:val="18"/>
          <w:szCs w:val="18"/>
          <w:highlight w:val="yellow"/>
        </w:rPr>
        <w:t>NAME OF INDIVIDUAL CONTACT PERSON</w:t>
      </w:r>
      <w:r>
        <w:rPr>
          <w:rFonts w:ascii="Arial" w:hAnsi="Arial" w:cs="Arial"/>
          <w:color w:val="000000"/>
          <w:sz w:val="18"/>
          <w:szCs w:val="18"/>
        </w:rPr>
        <w:t>]]</w:t>
      </w:r>
    </w:p>
    <w:p w14:paraId="45CCD475"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p>
    <w:p w14:paraId="5DFF5F39"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Re: Letter of Intent for Retention of Event Planning Services </w:t>
      </w:r>
    </w:p>
    <w:p w14:paraId="28F4FBEE"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p>
    <w:p w14:paraId="5971945A"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Dear [</w:t>
      </w:r>
      <w:r w:rsidRPr="009F508E">
        <w:rPr>
          <w:rFonts w:ascii="Arial" w:hAnsi="Arial" w:cs="Arial"/>
          <w:color w:val="000000"/>
          <w:sz w:val="18"/>
          <w:szCs w:val="18"/>
          <w:highlight w:val="yellow"/>
        </w:rPr>
        <w:t>NAME</w:t>
      </w:r>
      <w:r>
        <w:rPr>
          <w:rFonts w:ascii="Arial" w:hAnsi="Arial" w:cs="Arial"/>
          <w:color w:val="000000"/>
          <w:sz w:val="18"/>
          <w:szCs w:val="18"/>
        </w:rPr>
        <w:t>]:</w:t>
      </w:r>
    </w:p>
    <w:p w14:paraId="7555380E"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p>
    <w:p w14:paraId="6154587C"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This letter of intent (“</w:t>
      </w:r>
      <w:r>
        <w:rPr>
          <w:rFonts w:ascii="Arial" w:hAnsi="Arial" w:cs="Arial"/>
          <w:b/>
          <w:bCs/>
          <w:color w:val="000000"/>
          <w:sz w:val="18"/>
          <w:szCs w:val="18"/>
        </w:rPr>
        <w:t>LOI</w:t>
      </w:r>
      <w:r>
        <w:rPr>
          <w:rFonts w:ascii="Arial" w:hAnsi="Arial" w:cs="Arial"/>
          <w:color w:val="000000"/>
          <w:sz w:val="18"/>
          <w:szCs w:val="18"/>
        </w:rPr>
        <w:t>”) sets out the principal terms of [</w:t>
      </w:r>
      <w:r w:rsidRPr="009C4F31">
        <w:rPr>
          <w:rFonts w:ascii="Arial" w:hAnsi="Arial" w:cs="Arial"/>
          <w:color w:val="000000"/>
          <w:sz w:val="18"/>
          <w:szCs w:val="18"/>
          <w:highlight w:val="yellow"/>
        </w:rPr>
        <w:t>CLIENT’S NAME</w:t>
      </w:r>
      <w:r>
        <w:rPr>
          <w:rFonts w:ascii="Arial" w:hAnsi="Arial" w:cs="Arial"/>
          <w:color w:val="000000"/>
          <w:sz w:val="18"/>
          <w:szCs w:val="18"/>
        </w:rPr>
        <w:t>] (“</w:t>
      </w:r>
      <w:r>
        <w:rPr>
          <w:rFonts w:ascii="Arial" w:hAnsi="Arial" w:cs="Arial"/>
          <w:b/>
          <w:bCs/>
          <w:color w:val="000000"/>
          <w:sz w:val="18"/>
          <w:szCs w:val="18"/>
        </w:rPr>
        <w:t>Client</w:t>
      </w:r>
      <w:r>
        <w:rPr>
          <w:rFonts w:ascii="Arial" w:hAnsi="Arial" w:cs="Arial"/>
          <w:color w:val="000000"/>
          <w:sz w:val="18"/>
          <w:szCs w:val="18"/>
        </w:rPr>
        <w:t xml:space="preserve">”) intent to retain the Services (as defined in </w:t>
      </w:r>
      <w:r w:rsidRPr="000102C9">
        <w:rPr>
          <w:rFonts w:ascii="Arial" w:hAnsi="Arial" w:cs="Arial"/>
          <w:color w:val="000000"/>
          <w:sz w:val="18"/>
          <w:szCs w:val="18"/>
        </w:rPr>
        <w:t>Section 2</w:t>
      </w:r>
      <w:r>
        <w:rPr>
          <w:rFonts w:ascii="Arial" w:hAnsi="Arial" w:cs="Arial"/>
          <w:color w:val="000000"/>
          <w:sz w:val="18"/>
          <w:szCs w:val="18"/>
        </w:rPr>
        <w:t>) from [</w:t>
      </w:r>
      <w:r w:rsidRPr="009C4F31">
        <w:rPr>
          <w:rFonts w:ascii="Arial" w:hAnsi="Arial" w:cs="Arial"/>
          <w:color w:val="000000"/>
          <w:sz w:val="18"/>
          <w:szCs w:val="18"/>
          <w:highlight w:val="yellow"/>
        </w:rPr>
        <w:t>DMC’S NAME</w:t>
      </w:r>
      <w:r>
        <w:rPr>
          <w:rFonts w:ascii="Arial" w:hAnsi="Arial" w:cs="Arial"/>
          <w:color w:val="000000"/>
          <w:sz w:val="18"/>
          <w:szCs w:val="18"/>
        </w:rPr>
        <w:t>] (“</w:t>
      </w:r>
      <w:r>
        <w:rPr>
          <w:rFonts w:ascii="Arial" w:hAnsi="Arial" w:cs="Arial"/>
          <w:b/>
          <w:bCs/>
          <w:color w:val="000000"/>
          <w:sz w:val="18"/>
          <w:szCs w:val="18"/>
        </w:rPr>
        <w:t>DMC</w:t>
      </w:r>
      <w:r>
        <w:rPr>
          <w:rFonts w:ascii="Arial" w:hAnsi="Arial" w:cs="Arial"/>
          <w:color w:val="000000"/>
          <w:sz w:val="18"/>
          <w:szCs w:val="18"/>
        </w:rPr>
        <w:t>”). The possible retention of Services is referred to as the “</w:t>
      </w:r>
      <w:r>
        <w:rPr>
          <w:rFonts w:ascii="Arial" w:hAnsi="Arial" w:cs="Arial"/>
          <w:b/>
          <w:bCs/>
          <w:color w:val="000000"/>
          <w:sz w:val="18"/>
          <w:szCs w:val="18"/>
        </w:rPr>
        <w:t>Transaction</w:t>
      </w:r>
      <w:r>
        <w:rPr>
          <w:rFonts w:ascii="Arial" w:hAnsi="Arial" w:cs="Arial"/>
          <w:color w:val="000000"/>
          <w:sz w:val="18"/>
          <w:szCs w:val="18"/>
        </w:rPr>
        <w:t>” and Client and DMC are referred to collectively as the “</w:t>
      </w:r>
      <w:r>
        <w:rPr>
          <w:rFonts w:ascii="Arial" w:hAnsi="Arial" w:cs="Arial"/>
          <w:b/>
          <w:bCs/>
          <w:color w:val="000000"/>
          <w:sz w:val="18"/>
          <w:szCs w:val="18"/>
        </w:rPr>
        <w:t>Parties</w:t>
      </w:r>
      <w:r>
        <w:rPr>
          <w:rFonts w:ascii="Arial" w:hAnsi="Arial" w:cs="Arial"/>
          <w:color w:val="000000"/>
          <w:sz w:val="18"/>
          <w:szCs w:val="18"/>
        </w:rPr>
        <w:t>” and each, individually, as a “</w:t>
      </w:r>
      <w:r>
        <w:rPr>
          <w:rFonts w:ascii="Arial" w:hAnsi="Arial" w:cs="Arial"/>
          <w:b/>
          <w:bCs/>
          <w:color w:val="000000"/>
          <w:sz w:val="18"/>
          <w:szCs w:val="18"/>
        </w:rPr>
        <w:t>Party</w:t>
      </w:r>
      <w:r>
        <w:rPr>
          <w:rFonts w:ascii="Arial" w:hAnsi="Arial" w:cs="Arial"/>
          <w:color w:val="000000"/>
          <w:sz w:val="18"/>
          <w:szCs w:val="18"/>
        </w:rPr>
        <w:t>”.</w:t>
      </w:r>
    </w:p>
    <w:p w14:paraId="7BF0382A" w14:textId="7155BDDE"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W w:w="9364" w:type="dxa"/>
        <w:tblInd w:w="-10" w:type="dxa"/>
        <w:tblLayout w:type="fixed"/>
        <w:tblCellMar>
          <w:left w:w="0" w:type="dxa"/>
          <w:right w:w="0" w:type="dxa"/>
        </w:tblCellMar>
        <w:tblLook w:val="04A0" w:firstRow="1" w:lastRow="0" w:firstColumn="1" w:lastColumn="0" w:noHBand="0" w:noVBand="1"/>
      </w:tblPr>
      <w:tblGrid>
        <w:gridCol w:w="9364"/>
      </w:tblGrid>
      <w:tr w:rsidR="000E354A" w14:paraId="6D9ACFA4" w14:textId="77777777" w:rsidTr="00F403B3">
        <w:trPr>
          <w:trHeight w:val="291"/>
        </w:trPr>
        <w:tc>
          <w:tcPr>
            <w:tcW w:w="9364"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49A78F14" w14:textId="77777777" w:rsidR="000E354A" w:rsidRDefault="000E354A" w:rsidP="00B76249">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Opening Paragraph</w:t>
            </w:r>
          </w:p>
          <w:p w14:paraId="065E6023" w14:textId="192D1D0C" w:rsidR="00F403B3" w:rsidRPr="00F403B3" w:rsidRDefault="000E354A" w:rsidP="00B7624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The opening paragraph of a letter of intent describes the letter’s purpose, introduces the parties, and briefly describes the proposed transaction. In this letter, the contemplated transaction is the purchase of services by the client from the DMC.</w:t>
            </w:r>
          </w:p>
        </w:tc>
      </w:tr>
    </w:tbl>
    <w:p w14:paraId="642F9497" w14:textId="77777777" w:rsidR="00F403B3" w:rsidRDefault="00F403B3" w:rsidP="00F403B3">
      <w:pPr>
        <w:widowControl w:val="0"/>
        <w:autoSpaceDE w:val="0"/>
        <w:autoSpaceDN w:val="0"/>
        <w:adjustRightInd w:val="0"/>
        <w:spacing w:after="0" w:line="240" w:lineRule="auto"/>
        <w:jc w:val="both"/>
        <w:rPr>
          <w:rFonts w:ascii="Arial" w:hAnsi="Arial" w:cs="Arial"/>
          <w:color w:val="000000"/>
          <w:sz w:val="18"/>
          <w:szCs w:val="18"/>
        </w:rPr>
      </w:pPr>
      <w:bookmarkStart w:id="0" w:name="co_anchor_a835740_1"/>
      <w:bookmarkEnd w:id="0"/>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08A9F7AB"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p>
    <w:p w14:paraId="7B8F0527" w14:textId="5B27B8E8"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u w:val="single"/>
        </w:rPr>
        <w:t>Non-Binding</w:t>
      </w:r>
      <w:r>
        <w:rPr>
          <w:rFonts w:ascii="Arial" w:hAnsi="Arial" w:cs="Arial"/>
          <w:color w:val="000000"/>
          <w:sz w:val="18"/>
          <w:szCs w:val="18"/>
        </w:rPr>
        <w:t xml:space="preserve">. Except for the provisions of </w:t>
      </w:r>
      <w:r w:rsidRPr="00250522">
        <w:rPr>
          <w:rFonts w:ascii="Arial" w:hAnsi="Arial" w:cs="Arial"/>
          <w:color w:val="000000"/>
          <w:sz w:val="18"/>
          <w:szCs w:val="18"/>
        </w:rPr>
        <w:t>Section 4</w:t>
      </w:r>
      <w:r>
        <w:rPr>
          <w:rFonts w:ascii="Arial" w:hAnsi="Arial" w:cs="Arial"/>
          <w:color w:val="000000"/>
          <w:sz w:val="18"/>
          <w:szCs w:val="18"/>
        </w:rPr>
        <w:t xml:space="preserve">, </w:t>
      </w:r>
      <w:r w:rsidRPr="00250522">
        <w:rPr>
          <w:rFonts w:ascii="Arial" w:hAnsi="Arial" w:cs="Arial"/>
          <w:color w:val="000000"/>
          <w:sz w:val="18"/>
          <w:szCs w:val="18"/>
        </w:rPr>
        <w:t>Section 5</w:t>
      </w:r>
      <w:r>
        <w:rPr>
          <w:rFonts w:ascii="Arial" w:hAnsi="Arial" w:cs="Arial"/>
          <w:color w:val="000000"/>
          <w:sz w:val="18"/>
          <w:szCs w:val="18"/>
        </w:rPr>
        <w:t xml:space="preserve">, </w:t>
      </w:r>
      <w:r w:rsidRPr="00250522">
        <w:rPr>
          <w:rFonts w:ascii="Arial" w:hAnsi="Arial" w:cs="Arial"/>
          <w:color w:val="000000"/>
          <w:sz w:val="18"/>
          <w:szCs w:val="18"/>
        </w:rPr>
        <w:t>Section 6</w:t>
      </w:r>
      <w:r>
        <w:rPr>
          <w:rFonts w:ascii="Arial" w:hAnsi="Arial" w:cs="Arial"/>
          <w:color w:val="000000"/>
          <w:sz w:val="18"/>
          <w:szCs w:val="18"/>
        </w:rPr>
        <w:t xml:space="preserve">, and </w:t>
      </w:r>
      <w:r w:rsidRPr="00250522">
        <w:rPr>
          <w:rFonts w:ascii="Arial" w:hAnsi="Arial" w:cs="Arial"/>
          <w:color w:val="000000"/>
          <w:sz w:val="18"/>
          <w:szCs w:val="18"/>
        </w:rPr>
        <w:t>Section 7</w:t>
      </w:r>
      <w:r>
        <w:rPr>
          <w:rFonts w:ascii="Arial" w:hAnsi="Arial" w:cs="Arial"/>
          <w:color w:val="000000"/>
          <w:sz w:val="18"/>
          <w:szCs w:val="18"/>
        </w:rPr>
        <w:t xml:space="preserve"> and the requirement of this Section regarding entry into negotiations and fees associated therewith, this LOI is not binding on the Parties; it is only an expression of basic terms and conditions that the Parties presently intend to incorporate in a formal written agreement that will govern the Transaction (“</w:t>
      </w:r>
      <w:r>
        <w:rPr>
          <w:rFonts w:ascii="Arial" w:hAnsi="Arial" w:cs="Arial"/>
          <w:b/>
          <w:bCs/>
          <w:color w:val="000000"/>
          <w:sz w:val="18"/>
          <w:szCs w:val="18"/>
        </w:rPr>
        <w:t>Event Service Agreement</w:t>
      </w:r>
      <w:r>
        <w:rPr>
          <w:rFonts w:ascii="Arial" w:hAnsi="Arial" w:cs="Arial"/>
          <w:color w:val="000000"/>
          <w:sz w:val="18"/>
          <w:szCs w:val="18"/>
        </w:rPr>
        <w:t>”). No binding agreement</w:t>
      </w:r>
      <w:r w:rsidR="00F403B3">
        <w:rPr>
          <w:rFonts w:ascii="Arial" w:hAnsi="Arial" w:cs="Arial"/>
          <w:color w:val="000000"/>
          <w:sz w:val="18"/>
          <w:szCs w:val="18"/>
        </w:rPr>
        <w:t>, with exception of those provisions stated herein,</w:t>
      </w:r>
      <w:r>
        <w:rPr>
          <w:rFonts w:ascii="Arial" w:hAnsi="Arial" w:cs="Arial"/>
          <w:color w:val="000000"/>
          <w:sz w:val="18"/>
          <w:szCs w:val="18"/>
        </w:rPr>
        <w:t xml:space="preserve"> shall exist with respect to the Transaction unless and until the Event Service Agreement has been duly executed by both Parties. As soon as practicable following the acceptance and approval of this LOI by the Client, the Parties shall enter into negotiations with the objective of executing the Event Service Agreement. DMC shall prepare the initial draft of the Event Service Agreement.</w:t>
      </w:r>
    </w:p>
    <w:p w14:paraId="38C5A58D"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p>
    <w:p w14:paraId="116CD9C8" w14:textId="7F311DE4"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Prior to the Parties executing the Event Service Agreement, Client understands that DMC will utilize its knowledge, experience, resources, network, relationships, design, consultati</w:t>
      </w:r>
      <w:r w:rsidR="00F403B3">
        <w:rPr>
          <w:rFonts w:ascii="Arial" w:hAnsi="Arial" w:cs="Arial"/>
          <w:color w:val="000000"/>
          <w:sz w:val="18"/>
          <w:szCs w:val="18"/>
        </w:rPr>
        <w:t>ve skills</w:t>
      </w:r>
      <w:r>
        <w:rPr>
          <w:rFonts w:ascii="Arial" w:hAnsi="Arial" w:cs="Arial"/>
          <w:color w:val="000000"/>
          <w:sz w:val="18"/>
          <w:szCs w:val="18"/>
        </w:rPr>
        <w:t xml:space="preserve">, and planning capabilities to timely prepare the Client’s event. As a result, Client agrees to pay DMC a non-refundable fee (which will be reflected as a non-refundable credit in the Event Service Agreement) in the amount of </w:t>
      </w:r>
      <w:r w:rsidRPr="00C13D7B">
        <w:rPr>
          <w:rFonts w:ascii="Arial" w:hAnsi="Arial" w:cs="Arial"/>
          <w:color w:val="000000"/>
          <w:sz w:val="18"/>
          <w:szCs w:val="18"/>
          <w:highlight w:val="yellow"/>
        </w:rPr>
        <w:t>[$DOLLAR AMOUNT</w:t>
      </w:r>
      <w:r>
        <w:rPr>
          <w:rFonts w:ascii="Arial" w:hAnsi="Arial" w:cs="Arial"/>
          <w:color w:val="000000"/>
          <w:sz w:val="18"/>
          <w:szCs w:val="18"/>
        </w:rPr>
        <w:t xml:space="preserve">].  </w:t>
      </w:r>
    </w:p>
    <w:p w14:paraId="4965BD55" w14:textId="77777777" w:rsidR="00D122C1" w:rsidRDefault="00D122C1" w:rsidP="00D122C1">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57"/>
        <w:tblW w:w="9350" w:type="dxa"/>
        <w:tblLayout w:type="fixed"/>
        <w:tblCellMar>
          <w:left w:w="0" w:type="dxa"/>
          <w:right w:w="0" w:type="dxa"/>
        </w:tblCellMar>
        <w:tblLook w:val="04A0" w:firstRow="1" w:lastRow="0" w:firstColumn="1" w:lastColumn="0" w:noHBand="0" w:noVBand="1"/>
      </w:tblPr>
      <w:tblGrid>
        <w:gridCol w:w="9350"/>
      </w:tblGrid>
      <w:tr w:rsidR="00F403B3" w14:paraId="6F177888" w14:textId="77777777" w:rsidTr="00F403B3">
        <w:tc>
          <w:tcPr>
            <w:tcW w:w="935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616482EA" w14:textId="77777777" w:rsidR="00F403B3" w:rsidRDefault="00F403B3" w:rsidP="00F403B3">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Non-Binding</w:t>
            </w:r>
          </w:p>
          <w:p w14:paraId="67FF436A" w14:textId="77777777" w:rsidR="00F403B3" w:rsidRDefault="00F403B3" w:rsidP="00F403B3">
            <w:pPr>
              <w:widowControl w:val="0"/>
              <w:autoSpaceDE w:val="0"/>
              <w:autoSpaceDN w:val="0"/>
              <w:adjustRightInd w:val="0"/>
              <w:spacing w:after="0" w:line="240" w:lineRule="auto"/>
              <w:jc w:val="both"/>
              <w:rPr>
                <w:rFonts w:ascii="Arial" w:hAnsi="Arial" w:cs="Arial"/>
                <w:color w:val="0E568C"/>
                <w:sz w:val="18"/>
                <w:szCs w:val="18"/>
              </w:rPr>
            </w:pPr>
            <w:bookmarkStart w:id="1" w:name="co_anchor_a950513_1"/>
            <w:bookmarkEnd w:id="1"/>
          </w:p>
          <w:p w14:paraId="46CA35BD" w14:textId="77777777" w:rsidR="00F403B3" w:rsidRDefault="00F403B3" w:rsidP="00B7624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Although letters of intent are typically non-binding, they usually contain some binding provisions. </w:t>
            </w:r>
            <w:r w:rsidRPr="00A63432">
              <w:rPr>
                <w:rFonts w:ascii="Arial" w:hAnsi="Arial" w:cs="Arial"/>
                <w:i/>
                <w:iCs/>
                <w:color w:val="000000"/>
                <w:sz w:val="18"/>
                <w:szCs w:val="18"/>
              </w:rPr>
              <w:t>Usually</w:t>
            </w:r>
            <w:r>
              <w:rPr>
                <w:rFonts w:ascii="Arial" w:hAnsi="Arial" w:cs="Arial"/>
                <w:color w:val="000000"/>
                <w:sz w:val="18"/>
                <w:szCs w:val="18"/>
              </w:rPr>
              <w:t xml:space="preserve">, provisions regarding the business terms of the deal (for example, price, quantities, description of services) are non-binding and subject to continued negotiations. Binding provisions are usually limited to those that a party </w:t>
            </w:r>
            <w:r>
              <w:rPr>
                <w:rFonts w:ascii="Arial" w:hAnsi="Arial" w:cs="Arial"/>
                <w:color w:val="000000"/>
                <w:sz w:val="18"/>
                <w:szCs w:val="18"/>
              </w:rPr>
              <w:lastRenderedPageBreak/>
              <w:t>thinks necessary during the negotiation period. Common binding provisions include:</w:t>
            </w:r>
          </w:p>
          <w:p w14:paraId="567C73A4" w14:textId="77777777" w:rsidR="00F403B3" w:rsidRDefault="00F403B3" w:rsidP="00B76249">
            <w:pPr>
              <w:widowControl w:val="0"/>
              <w:numPr>
                <w:ilvl w:val="0"/>
                <w:numId w:val="11"/>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Governing law.</w:t>
            </w:r>
          </w:p>
          <w:p w14:paraId="7F6D4E90" w14:textId="77777777" w:rsidR="00F403B3" w:rsidRDefault="00F403B3" w:rsidP="00B76249">
            <w:pPr>
              <w:widowControl w:val="0"/>
              <w:numPr>
                <w:ilvl w:val="0"/>
                <w:numId w:val="12"/>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Confidentiality.</w:t>
            </w:r>
          </w:p>
          <w:p w14:paraId="1F6BF169" w14:textId="77777777" w:rsidR="00F403B3" w:rsidRDefault="00F403B3" w:rsidP="00B76249">
            <w:pPr>
              <w:widowControl w:val="0"/>
              <w:numPr>
                <w:ilvl w:val="0"/>
                <w:numId w:val="13"/>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No third-party beneficiaries.</w:t>
            </w:r>
          </w:p>
          <w:p w14:paraId="0B190FCE" w14:textId="77777777" w:rsidR="00F403B3" w:rsidRDefault="00F403B3" w:rsidP="00B76249">
            <w:pPr>
              <w:widowControl w:val="0"/>
              <w:numPr>
                <w:ilvl w:val="0"/>
                <w:numId w:val="14"/>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Expenses.</w:t>
            </w:r>
          </w:p>
          <w:p w14:paraId="5B801053" w14:textId="77777777" w:rsidR="00F403B3" w:rsidRDefault="00F403B3" w:rsidP="00547A86">
            <w:pPr>
              <w:widowControl w:val="0"/>
              <w:autoSpaceDE w:val="0"/>
              <w:autoSpaceDN w:val="0"/>
              <w:adjustRightInd w:val="0"/>
              <w:spacing w:before="180" w:after="0" w:line="240" w:lineRule="auto"/>
              <w:jc w:val="both"/>
              <w:rPr>
                <w:rFonts w:ascii="Arial" w:hAnsi="Arial" w:cs="Arial"/>
                <w:color w:val="000000"/>
                <w:sz w:val="18"/>
                <w:szCs w:val="18"/>
              </w:rPr>
            </w:pPr>
            <w:r>
              <w:rPr>
                <w:rFonts w:ascii="Arial" w:hAnsi="Arial" w:cs="Arial"/>
                <w:color w:val="000000"/>
                <w:sz w:val="18"/>
                <w:szCs w:val="18"/>
              </w:rPr>
              <w:t xml:space="preserve">In some rare cases, </w:t>
            </w:r>
            <w:r w:rsidRPr="00A63432">
              <w:rPr>
                <w:rFonts w:ascii="Arial" w:hAnsi="Arial" w:cs="Arial"/>
                <w:i/>
                <w:iCs/>
                <w:color w:val="000000"/>
                <w:sz w:val="18"/>
                <w:szCs w:val="18"/>
              </w:rPr>
              <w:t>such as here</w:t>
            </w:r>
            <w:r>
              <w:rPr>
                <w:rFonts w:ascii="Arial" w:hAnsi="Arial" w:cs="Arial"/>
                <w:color w:val="000000"/>
                <w:sz w:val="18"/>
                <w:szCs w:val="18"/>
              </w:rPr>
              <w:t xml:space="preserve">, the parties may make other relevant portions of the letter binding. If the party that wants a binding letter of intent has more bargaining power, the other party can agree to be bound if it is highly motivated to complete the deal. Parties must ensure that the letter of intent properly reflects their intentions. If the letter includes provisions that are intended to be binding, these must be clearly identified and the legal requirements for creation of a valid contract must be satisfied (for example, the terms must be sufficiently certain and there must be consideration). This letter of intent specifically identifies those sections that are meant to be binding by excluding them from the other provisions of the letter that are deemed non-binding. </w:t>
            </w:r>
          </w:p>
          <w:p w14:paraId="5AFF2CB9" w14:textId="77777777" w:rsidR="00F403B3" w:rsidRDefault="00F403B3" w:rsidP="00547A86">
            <w:pPr>
              <w:widowControl w:val="0"/>
              <w:autoSpaceDE w:val="0"/>
              <w:autoSpaceDN w:val="0"/>
              <w:adjustRightInd w:val="0"/>
              <w:spacing w:before="180" w:after="0" w:line="240" w:lineRule="auto"/>
              <w:jc w:val="both"/>
              <w:rPr>
                <w:rFonts w:ascii="Arial" w:hAnsi="Arial" w:cs="Arial"/>
                <w:color w:val="000000"/>
                <w:sz w:val="18"/>
                <w:szCs w:val="18"/>
              </w:rPr>
            </w:pPr>
          </w:p>
          <w:p w14:paraId="0A63969E" w14:textId="718B1C7D" w:rsidR="00F403B3" w:rsidRDefault="00F403B3" w:rsidP="00547A86">
            <w:pPr>
              <w:widowControl w:val="0"/>
              <w:autoSpaceDE w:val="0"/>
              <w:autoSpaceDN w:val="0"/>
              <w:adjustRightInd w:val="0"/>
              <w:spacing w:after="0" w:line="240" w:lineRule="auto"/>
              <w:jc w:val="both"/>
              <w:rPr>
                <w:rFonts w:ascii="Arial" w:hAnsi="Arial" w:cs="Arial"/>
                <w:color w:val="000000"/>
                <w:sz w:val="18"/>
                <w:szCs w:val="18"/>
              </w:rPr>
            </w:pPr>
            <w:r w:rsidRPr="0034276F">
              <w:rPr>
                <w:rFonts w:ascii="Arial" w:hAnsi="Arial" w:cs="Arial"/>
                <w:sz w:val="18"/>
                <w:szCs w:val="18"/>
              </w:rPr>
              <w:t>Section 1</w:t>
            </w:r>
            <w:r>
              <w:rPr>
                <w:rFonts w:ascii="Arial" w:hAnsi="Arial" w:cs="Arial"/>
                <w:color w:val="000000"/>
                <w:sz w:val="18"/>
                <w:szCs w:val="18"/>
              </w:rPr>
              <w:t xml:space="preserve"> requires the parties to enter into negotiations toward an Event Service Agreement. If the client or DMC have particular concerns about the timeliness of completing the event service agreement, it may be appropriate to set a deadline by which the agreement should be finalized (</w:t>
            </w:r>
            <w:r w:rsidR="00B76249">
              <w:rPr>
                <w:rFonts w:ascii="Arial" w:hAnsi="Arial" w:cs="Arial"/>
                <w:color w:val="000000"/>
                <w:sz w:val="18"/>
                <w:szCs w:val="18"/>
              </w:rPr>
              <w:t>e.g.,</w:t>
            </w:r>
            <w:r>
              <w:rPr>
                <w:rFonts w:ascii="Arial" w:hAnsi="Arial" w:cs="Arial"/>
                <w:color w:val="000000"/>
                <w:sz w:val="18"/>
                <w:szCs w:val="18"/>
              </w:rPr>
              <w:t xml:space="preserve"> 30 days from the signing of the letter of intent).</w:t>
            </w:r>
          </w:p>
          <w:p w14:paraId="6ACEB448" w14:textId="77777777" w:rsidR="00B76249" w:rsidRDefault="00B76249" w:rsidP="00547A86">
            <w:pPr>
              <w:widowControl w:val="0"/>
              <w:autoSpaceDE w:val="0"/>
              <w:autoSpaceDN w:val="0"/>
              <w:adjustRightInd w:val="0"/>
              <w:spacing w:after="0" w:line="240" w:lineRule="auto"/>
              <w:jc w:val="both"/>
              <w:rPr>
                <w:rFonts w:ascii="Arial" w:hAnsi="Arial" w:cs="Arial"/>
                <w:color w:val="000000"/>
                <w:sz w:val="18"/>
                <w:szCs w:val="18"/>
              </w:rPr>
            </w:pPr>
          </w:p>
          <w:p w14:paraId="2995E3F9" w14:textId="77777777" w:rsidR="00F403B3" w:rsidRDefault="00F403B3" w:rsidP="00547A86">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Even if a letter of intent is non-binding, parties may be obligated to negotiate in good faith. Courts are split on whether letters of intent or term sheets create a duty to negotiate in good faith. Courts often consider whether:</w:t>
            </w:r>
          </w:p>
          <w:p w14:paraId="76578040" w14:textId="77777777" w:rsidR="00F403B3" w:rsidRDefault="00F403B3" w:rsidP="00547A86">
            <w:pPr>
              <w:widowControl w:val="0"/>
              <w:numPr>
                <w:ilvl w:val="0"/>
                <w:numId w:val="15"/>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The circumstances indicate that the parties intended to be committed to negotiate in good faith.</w:t>
            </w:r>
          </w:p>
          <w:p w14:paraId="15E00B51" w14:textId="77777777" w:rsidR="00F403B3" w:rsidRDefault="00F403B3" w:rsidP="00547A86">
            <w:pPr>
              <w:widowControl w:val="0"/>
              <w:numPr>
                <w:ilvl w:val="0"/>
                <w:numId w:val="16"/>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There is sufficient consideration for the alleged commitment to negotiate in good faith.</w:t>
            </w:r>
          </w:p>
          <w:p w14:paraId="4F1EE3D6" w14:textId="77777777" w:rsidR="00F403B3" w:rsidRPr="0034276F" w:rsidRDefault="00F403B3" w:rsidP="00547A86">
            <w:pPr>
              <w:widowControl w:val="0"/>
              <w:numPr>
                <w:ilvl w:val="0"/>
                <w:numId w:val="17"/>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The parties’ actions demonstrate a reasonable reliance on the intentions of the parties to negotiate in good faith.</w:t>
            </w:r>
          </w:p>
        </w:tc>
      </w:tr>
    </w:tbl>
    <w:p w14:paraId="642C26BB" w14:textId="77777777" w:rsidR="00D122C1" w:rsidRDefault="00D122C1" w:rsidP="00D122C1">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w:t>
      </w:r>
      <w:r>
        <w:rPr>
          <w:rFonts w:ascii="Arial" w:hAnsi="Arial" w:cs="Arial"/>
          <w:color w:val="CCCCCC"/>
          <w:position w:val="4"/>
          <w:sz w:val="30"/>
          <w:szCs w:val="30"/>
          <w:u w:val="thick"/>
        </w:rPr>
        <w:t xml:space="preserve">                                                                                                                                       </w:t>
      </w:r>
      <w:r>
        <w:rPr>
          <w:rFonts w:ascii="Arial" w:hAnsi="Arial" w:cs="Arial"/>
          <w:color w:val="000000"/>
          <w:sz w:val="18"/>
          <w:szCs w:val="18"/>
        </w:rPr>
        <w:t>‌</w:t>
      </w:r>
    </w:p>
    <w:p w14:paraId="722DE66F"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p w14:paraId="54350E98"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bookmarkStart w:id="2" w:name="co_anchor_a796853_1"/>
      <w:bookmarkEnd w:id="2"/>
      <w:r>
        <w:rPr>
          <w:rFonts w:ascii="Arial" w:hAnsi="Arial" w:cs="Arial"/>
          <w:color w:val="000000"/>
          <w:sz w:val="18"/>
          <w:szCs w:val="18"/>
        </w:rPr>
        <w:t>2.  </w:t>
      </w:r>
      <w:r>
        <w:rPr>
          <w:rFonts w:ascii="Arial" w:hAnsi="Arial" w:cs="Arial"/>
          <w:color w:val="000000"/>
          <w:sz w:val="18"/>
          <w:szCs w:val="18"/>
          <w:u w:val="single"/>
        </w:rPr>
        <w:t>Supply of Services</w:t>
      </w:r>
      <w:r>
        <w:rPr>
          <w:rFonts w:ascii="Arial" w:hAnsi="Arial" w:cs="Arial"/>
          <w:color w:val="000000"/>
          <w:sz w:val="18"/>
          <w:szCs w:val="18"/>
        </w:rPr>
        <w:t xml:space="preserve">. It is the present intention of the Parties that, upon execution of the Event Service Agreement, Client would retain and DMC would provide the services set out in the attached </w:t>
      </w:r>
      <w:r>
        <w:rPr>
          <w:rFonts w:ascii="Arial" w:hAnsi="Arial" w:cs="Arial"/>
          <w:b/>
          <w:bCs/>
          <w:color w:val="000000"/>
          <w:sz w:val="18"/>
          <w:szCs w:val="18"/>
        </w:rPr>
        <w:t xml:space="preserve">Exhibit A </w:t>
      </w:r>
      <w:r>
        <w:rPr>
          <w:rFonts w:ascii="Arial" w:hAnsi="Arial" w:cs="Arial"/>
          <w:color w:val="000000"/>
          <w:sz w:val="18"/>
          <w:szCs w:val="18"/>
        </w:rPr>
        <w:t>(“</w:t>
      </w:r>
      <w:r>
        <w:rPr>
          <w:rFonts w:ascii="Arial" w:hAnsi="Arial" w:cs="Arial"/>
          <w:b/>
          <w:bCs/>
          <w:color w:val="000000"/>
          <w:sz w:val="18"/>
          <w:szCs w:val="18"/>
        </w:rPr>
        <w:t>Services</w:t>
      </w:r>
      <w:r>
        <w:rPr>
          <w:rFonts w:ascii="Arial" w:hAnsi="Arial" w:cs="Arial"/>
          <w:color w:val="000000"/>
          <w:sz w:val="18"/>
          <w:szCs w:val="18"/>
        </w:rPr>
        <w:t>”), at the price and in the quantities set out therein. The Event Service Agreement shall contain such covenants, conditions, indemnities, representations, and warranties as the Parties shall mutually agree.</w:t>
      </w:r>
    </w:p>
    <w:p w14:paraId="2320133E" w14:textId="77777777" w:rsidR="00D122C1" w:rsidRDefault="00D122C1" w:rsidP="00D122C1">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1D237D82" w14:textId="261375BE" w:rsidR="000E354A" w:rsidRDefault="000E354A" w:rsidP="00D122C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9380" w:type="dxa"/>
        <w:tblInd w:w="-10" w:type="dxa"/>
        <w:tblLayout w:type="fixed"/>
        <w:tblCellMar>
          <w:left w:w="0" w:type="dxa"/>
          <w:right w:w="0" w:type="dxa"/>
        </w:tblCellMar>
        <w:tblLook w:val="04A0" w:firstRow="1" w:lastRow="0" w:firstColumn="1" w:lastColumn="0" w:noHBand="0" w:noVBand="1"/>
      </w:tblPr>
      <w:tblGrid>
        <w:gridCol w:w="9380"/>
      </w:tblGrid>
      <w:tr w:rsidR="000E354A" w14:paraId="3E52CC50" w14:textId="77777777" w:rsidTr="00D122C1">
        <w:trPr>
          <w:trHeight w:val="5033"/>
        </w:trPr>
        <w:tc>
          <w:tcPr>
            <w:tcW w:w="938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7592959A" w14:textId="77777777" w:rsidR="000E354A" w:rsidRDefault="000E354A" w:rsidP="00547A86">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lastRenderedPageBreak/>
              <w:t>Drafting Note: Purchase and Sale/Supply of Services</w:t>
            </w:r>
          </w:p>
          <w:p w14:paraId="138229B0" w14:textId="77777777" w:rsidR="000E354A" w:rsidRDefault="000E354A" w:rsidP="00547A86">
            <w:pPr>
              <w:widowControl w:val="0"/>
              <w:autoSpaceDE w:val="0"/>
              <w:autoSpaceDN w:val="0"/>
              <w:adjustRightInd w:val="0"/>
              <w:spacing w:after="0" w:line="240" w:lineRule="auto"/>
              <w:jc w:val="both"/>
              <w:rPr>
                <w:rFonts w:ascii="Arial" w:hAnsi="Arial" w:cs="Arial"/>
                <w:color w:val="0E568C"/>
                <w:sz w:val="18"/>
                <w:szCs w:val="18"/>
              </w:rPr>
            </w:pPr>
            <w:bookmarkStart w:id="3" w:name="co_anchor_a232361_1"/>
            <w:bookmarkEnd w:id="3"/>
          </w:p>
          <w:p w14:paraId="0385F86B" w14:textId="77777777" w:rsidR="000E354A" w:rsidRDefault="000E354A" w:rsidP="00547A86">
            <w:pPr>
              <w:widowControl w:val="0"/>
              <w:autoSpaceDE w:val="0"/>
              <w:autoSpaceDN w:val="0"/>
              <w:adjustRightInd w:val="0"/>
              <w:spacing w:after="0" w:line="240" w:lineRule="auto"/>
              <w:jc w:val="both"/>
              <w:rPr>
                <w:rFonts w:ascii="Arial" w:hAnsi="Arial" w:cs="Arial"/>
                <w:color w:val="000000"/>
                <w:sz w:val="18"/>
                <w:szCs w:val="18"/>
              </w:rPr>
            </w:pPr>
            <w:r w:rsidRPr="006153C2">
              <w:rPr>
                <w:rFonts w:ascii="Arial" w:hAnsi="Arial" w:cs="Arial"/>
                <w:sz w:val="18"/>
                <w:szCs w:val="18"/>
              </w:rPr>
              <w:t>Section 2</w:t>
            </w:r>
            <w:r>
              <w:rPr>
                <w:rFonts w:ascii="Arial" w:hAnsi="Arial" w:cs="Arial"/>
                <w:color w:val="000000"/>
                <w:sz w:val="18"/>
                <w:szCs w:val="18"/>
              </w:rPr>
              <w:t xml:space="preserve"> provides for the agreed business terms of the transaction to be set out in an exhibit. This should include, at a minimum, to the extent agreed:</w:t>
            </w:r>
          </w:p>
          <w:p w14:paraId="4597CC2E" w14:textId="77777777" w:rsidR="000E354A" w:rsidRDefault="000E354A" w:rsidP="00547A86">
            <w:pPr>
              <w:widowControl w:val="0"/>
              <w:numPr>
                <w:ilvl w:val="0"/>
                <w:numId w:val="18"/>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Prices.</w:t>
            </w:r>
          </w:p>
          <w:p w14:paraId="6B80DA19" w14:textId="77777777" w:rsidR="000E354A" w:rsidRDefault="000E354A" w:rsidP="00547A86">
            <w:pPr>
              <w:widowControl w:val="0"/>
              <w:numPr>
                <w:ilvl w:val="0"/>
                <w:numId w:val="19"/>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Quantities or volume.</w:t>
            </w:r>
          </w:p>
          <w:p w14:paraId="493BE5AC" w14:textId="77777777" w:rsidR="000E354A" w:rsidRDefault="000E354A" w:rsidP="00547A86">
            <w:pPr>
              <w:widowControl w:val="0"/>
              <w:numPr>
                <w:ilvl w:val="0"/>
                <w:numId w:val="20"/>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Specifications.</w:t>
            </w:r>
          </w:p>
          <w:p w14:paraId="19E6C33D" w14:textId="77777777" w:rsidR="000E354A" w:rsidRDefault="000E354A" w:rsidP="00547A86">
            <w:pPr>
              <w:widowControl w:val="0"/>
              <w:numPr>
                <w:ilvl w:val="0"/>
                <w:numId w:val="21"/>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Timing.</w:t>
            </w:r>
          </w:p>
          <w:p w14:paraId="44DCC723" w14:textId="77777777" w:rsidR="000E354A" w:rsidRDefault="000E354A" w:rsidP="00547A86">
            <w:pPr>
              <w:widowControl w:val="0"/>
              <w:numPr>
                <w:ilvl w:val="0"/>
                <w:numId w:val="22"/>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Any other key terms that the parties consider to be required aspects of the transaction, such as, where applicable:</w:t>
            </w:r>
          </w:p>
          <w:p w14:paraId="64D06A98" w14:textId="77777777" w:rsidR="000E354A" w:rsidRDefault="000E354A" w:rsidP="00547A86">
            <w:pPr>
              <w:widowControl w:val="0"/>
              <w:numPr>
                <w:ilvl w:val="0"/>
                <w:numId w:val="23"/>
              </w:numPr>
              <w:autoSpaceDE w:val="0"/>
              <w:autoSpaceDN w:val="0"/>
              <w:adjustRightInd w:val="0"/>
              <w:spacing w:before="320" w:after="180" w:line="240" w:lineRule="auto"/>
              <w:ind w:left="960" w:hanging="360"/>
              <w:jc w:val="both"/>
              <w:rPr>
                <w:rFonts w:ascii="Arial" w:hAnsi="Arial" w:cs="Arial"/>
                <w:color w:val="000000"/>
                <w:sz w:val="18"/>
                <w:szCs w:val="18"/>
              </w:rPr>
            </w:pPr>
            <w:r>
              <w:rPr>
                <w:rFonts w:ascii="Arial" w:hAnsi="Arial" w:cs="Arial"/>
                <w:color w:val="000000"/>
                <w:sz w:val="18"/>
                <w:szCs w:val="18"/>
              </w:rPr>
              <w:t>required due diligence;</w:t>
            </w:r>
          </w:p>
          <w:p w14:paraId="2A96441A" w14:textId="77777777" w:rsidR="000E354A" w:rsidRDefault="000E354A" w:rsidP="00547A86">
            <w:pPr>
              <w:widowControl w:val="0"/>
              <w:numPr>
                <w:ilvl w:val="0"/>
                <w:numId w:val="24"/>
              </w:numPr>
              <w:autoSpaceDE w:val="0"/>
              <w:autoSpaceDN w:val="0"/>
              <w:adjustRightInd w:val="0"/>
              <w:spacing w:before="320" w:after="180" w:line="240" w:lineRule="auto"/>
              <w:ind w:left="960" w:hanging="360"/>
              <w:jc w:val="both"/>
              <w:rPr>
                <w:rFonts w:ascii="Arial" w:hAnsi="Arial" w:cs="Arial"/>
                <w:color w:val="000000"/>
                <w:sz w:val="18"/>
                <w:szCs w:val="18"/>
              </w:rPr>
            </w:pPr>
            <w:r>
              <w:rPr>
                <w:rFonts w:ascii="Arial" w:hAnsi="Arial" w:cs="Arial"/>
                <w:color w:val="000000"/>
                <w:sz w:val="18"/>
                <w:szCs w:val="18"/>
              </w:rPr>
              <w:t>exclusivity;</w:t>
            </w:r>
          </w:p>
          <w:p w14:paraId="61BF6F16" w14:textId="77777777" w:rsidR="000E354A" w:rsidRDefault="000E354A" w:rsidP="00547A86">
            <w:pPr>
              <w:widowControl w:val="0"/>
              <w:numPr>
                <w:ilvl w:val="0"/>
                <w:numId w:val="25"/>
              </w:numPr>
              <w:autoSpaceDE w:val="0"/>
              <w:autoSpaceDN w:val="0"/>
              <w:adjustRightInd w:val="0"/>
              <w:spacing w:before="320" w:after="180" w:line="240" w:lineRule="auto"/>
              <w:ind w:left="960" w:hanging="360"/>
              <w:jc w:val="both"/>
              <w:rPr>
                <w:rFonts w:ascii="Arial" w:hAnsi="Arial" w:cs="Arial"/>
                <w:color w:val="000000"/>
                <w:sz w:val="18"/>
                <w:szCs w:val="18"/>
              </w:rPr>
            </w:pPr>
            <w:r>
              <w:rPr>
                <w:rFonts w:ascii="Arial" w:hAnsi="Arial" w:cs="Arial"/>
                <w:color w:val="000000"/>
                <w:sz w:val="18"/>
                <w:szCs w:val="18"/>
              </w:rPr>
              <w:t>confidentiality; and</w:t>
            </w:r>
          </w:p>
          <w:p w14:paraId="08159070" w14:textId="77777777" w:rsidR="000E354A" w:rsidRPr="00C27631" w:rsidRDefault="000E354A" w:rsidP="00547A86">
            <w:pPr>
              <w:widowControl w:val="0"/>
              <w:numPr>
                <w:ilvl w:val="0"/>
                <w:numId w:val="26"/>
              </w:numPr>
              <w:autoSpaceDE w:val="0"/>
              <w:autoSpaceDN w:val="0"/>
              <w:adjustRightInd w:val="0"/>
              <w:spacing w:before="320" w:after="180" w:line="240" w:lineRule="auto"/>
              <w:ind w:left="960" w:hanging="360"/>
              <w:jc w:val="both"/>
              <w:rPr>
                <w:rFonts w:ascii="Arial" w:hAnsi="Arial" w:cs="Arial"/>
                <w:color w:val="000000"/>
                <w:sz w:val="18"/>
                <w:szCs w:val="18"/>
              </w:rPr>
            </w:pPr>
            <w:r>
              <w:rPr>
                <w:rFonts w:ascii="Arial" w:hAnsi="Arial" w:cs="Arial"/>
                <w:color w:val="000000"/>
                <w:sz w:val="18"/>
                <w:szCs w:val="18"/>
              </w:rPr>
              <w:t>noncompetition.</w:t>
            </w:r>
          </w:p>
        </w:tc>
      </w:tr>
    </w:tbl>
    <w:p w14:paraId="6472125F" w14:textId="77777777" w:rsidR="00547A86" w:rsidRDefault="00547A86" w:rsidP="00547A86">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0282A8D4" w14:textId="0737BB8E"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4" w:name="co_anchor_a334405_1"/>
      <w:bookmarkEnd w:id="4"/>
    </w:p>
    <w:p w14:paraId="0022DF6D" w14:textId="54E20BD9" w:rsidR="00547A86" w:rsidRDefault="00547A86" w:rsidP="000E354A">
      <w:pPr>
        <w:widowControl w:val="0"/>
        <w:autoSpaceDE w:val="0"/>
        <w:autoSpaceDN w:val="0"/>
        <w:adjustRightInd w:val="0"/>
        <w:spacing w:after="0" w:line="240" w:lineRule="auto"/>
        <w:jc w:val="both"/>
        <w:rPr>
          <w:rFonts w:ascii="Arial" w:hAnsi="Arial" w:cs="Arial"/>
          <w:color w:val="0E568C"/>
          <w:sz w:val="18"/>
          <w:szCs w:val="18"/>
        </w:rPr>
      </w:pPr>
    </w:p>
    <w:p w14:paraId="7EED66F6" w14:textId="77777777" w:rsidR="00547A86" w:rsidRDefault="00547A86" w:rsidP="000E354A">
      <w:pPr>
        <w:widowControl w:val="0"/>
        <w:autoSpaceDE w:val="0"/>
        <w:autoSpaceDN w:val="0"/>
        <w:adjustRightInd w:val="0"/>
        <w:spacing w:after="0" w:line="240" w:lineRule="auto"/>
        <w:jc w:val="both"/>
        <w:rPr>
          <w:rFonts w:ascii="Arial" w:hAnsi="Arial" w:cs="Arial"/>
          <w:color w:val="0E568C"/>
          <w:sz w:val="18"/>
          <w:szCs w:val="18"/>
        </w:rPr>
      </w:pPr>
    </w:p>
    <w:p w14:paraId="699391B9" w14:textId="55E199F9"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3.  </w:t>
      </w:r>
      <w:r>
        <w:rPr>
          <w:rFonts w:ascii="Arial" w:hAnsi="Arial" w:cs="Arial"/>
          <w:color w:val="000000"/>
          <w:sz w:val="18"/>
          <w:szCs w:val="18"/>
          <w:u w:val="single"/>
        </w:rPr>
        <w:t>Term and Termination</w:t>
      </w:r>
      <w:r>
        <w:rPr>
          <w:rFonts w:ascii="Arial" w:hAnsi="Arial" w:cs="Arial"/>
          <w:color w:val="000000"/>
          <w:sz w:val="18"/>
          <w:szCs w:val="18"/>
        </w:rPr>
        <w:t>. This LOI will automatically terminate and be of no further force and effect upon the earlier of (</w:t>
      </w:r>
      <w:proofErr w:type="spellStart"/>
      <w:r>
        <w:rPr>
          <w:rFonts w:ascii="Arial" w:hAnsi="Arial" w:cs="Arial"/>
          <w:color w:val="000000"/>
          <w:sz w:val="18"/>
          <w:szCs w:val="18"/>
        </w:rPr>
        <w:t>i</w:t>
      </w:r>
      <w:proofErr w:type="spellEnd"/>
      <w:r>
        <w:rPr>
          <w:rFonts w:ascii="Arial" w:hAnsi="Arial" w:cs="Arial"/>
          <w:color w:val="000000"/>
          <w:sz w:val="18"/>
          <w:szCs w:val="18"/>
        </w:rPr>
        <w:t>) execution of the Event Service Agreement by Client and DMC, (ii) mutual agreement of Client and DMC, and (iii) [</w:t>
      </w:r>
      <w:r w:rsidRPr="00172AC7">
        <w:rPr>
          <w:rFonts w:ascii="Arial" w:hAnsi="Arial" w:cs="Arial"/>
          <w:color w:val="000000"/>
          <w:sz w:val="18"/>
          <w:szCs w:val="18"/>
          <w:highlight w:val="yellow"/>
        </w:rPr>
        <w:t>TIME</w:t>
      </w:r>
      <w:r>
        <w:rPr>
          <w:rFonts w:ascii="Arial" w:hAnsi="Arial" w:cs="Arial"/>
          <w:color w:val="000000"/>
          <w:sz w:val="18"/>
          <w:szCs w:val="18"/>
        </w:rPr>
        <w:t>] on [</w:t>
      </w:r>
      <w:r w:rsidRPr="00172AC7">
        <w:rPr>
          <w:rFonts w:ascii="Arial" w:hAnsi="Arial" w:cs="Arial"/>
          <w:color w:val="000000"/>
          <w:sz w:val="18"/>
          <w:szCs w:val="18"/>
          <w:highlight w:val="yellow"/>
        </w:rPr>
        <w:t>DATE</w:t>
      </w:r>
      <w:r>
        <w:rPr>
          <w:rFonts w:ascii="Arial" w:hAnsi="Arial" w:cs="Arial"/>
          <w:color w:val="000000"/>
          <w:sz w:val="18"/>
          <w:szCs w:val="18"/>
        </w:rPr>
        <w:t xml:space="preserve">]. Notwithstanding anything in the previous sentence, </w:t>
      </w:r>
      <w:r w:rsidR="00132BB8">
        <w:rPr>
          <w:rFonts w:ascii="Arial" w:hAnsi="Arial" w:cs="Arial"/>
          <w:color w:val="000000"/>
          <w:sz w:val="18"/>
          <w:szCs w:val="18"/>
        </w:rPr>
        <w:t>Section 1</w:t>
      </w:r>
      <w:r>
        <w:rPr>
          <w:rFonts w:ascii="Arial" w:hAnsi="Arial" w:cs="Arial"/>
          <w:color w:val="000000"/>
          <w:sz w:val="18"/>
          <w:szCs w:val="18"/>
        </w:rPr>
        <w:t xml:space="preserve">, </w:t>
      </w:r>
      <w:r w:rsidRPr="00172AC7">
        <w:rPr>
          <w:rFonts w:ascii="Arial" w:hAnsi="Arial" w:cs="Arial"/>
          <w:sz w:val="18"/>
          <w:szCs w:val="18"/>
        </w:rPr>
        <w:t>Section 4</w:t>
      </w:r>
      <w:r>
        <w:rPr>
          <w:rFonts w:ascii="Arial" w:hAnsi="Arial" w:cs="Arial"/>
          <w:color w:val="000000"/>
          <w:sz w:val="18"/>
          <w:szCs w:val="18"/>
        </w:rPr>
        <w:t xml:space="preserve">, </w:t>
      </w:r>
      <w:r w:rsidRPr="00172AC7">
        <w:rPr>
          <w:rFonts w:ascii="Arial" w:hAnsi="Arial" w:cs="Arial"/>
          <w:sz w:val="18"/>
          <w:szCs w:val="18"/>
        </w:rPr>
        <w:t>Section 5</w:t>
      </w:r>
      <w:r>
        <w:rPr>
          <w:rFonts w:ascii="Arial" w:hAnsi="Arial" w:cs="Arial"/>
          <w:color w:val="000000"/>
          <w:sz w:val="18"/>
          <w:szCs w:val="18"/>
        </w:rPr>
        <w:t xml:space="preserve">, and </w:t>
      </w:r>
      <w:r w:rsidRPr="00172AC7">
        <w:rPr>
          <w:rFonts w:ascii="Arial" w:hAnsi="Arial" w:cs="Arial"/>
          <w:sz w:val="18"/>
          <w:szCs w:val="18"/>
        </w:rPr>
        <w:t>Section 6</w:t>
      </w:r>
      <w:r>
        <w:rPr>
          <w:rFonts w:ascii="Arial" w:hAnsi="Arial" w:cs="Arial"/>
          <w:color w:val="000000"/>
          <w:sz w:val="18"/>
          <w:szCs w:val="18"/>
        </w:rPr>
        <w:t xml:space="preserve"> shall survive the termination of this LOI and the termination of this LOI shall not affect any rights a Party has with respect to the breach of this LOI by the other Party prior to such termination.</w:t>
      </w:r>
    </w:p>
    <w:p w14:paraId="548E73ED" w14:textId="77777777" w:rsidR="00547A86" w:rsidRDefault="00547A86" w:rsidP="00547A86">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80"/>
        <w:tblW w:w="9350" w:type="dxa"/>
        <w:tblLayout w:type="fixed"/>
        <w:tblCellMar>
          <w:left w:w="0" w:type="dxa"/>
          <w:right w:w="0" w:type="dxa"/>
        </w:tblCellMar>
        <w:tblLook w:val="04A0" w:firstRow="1" w:lastRow="0" w:firstColumn="1" w:lastColumn="0" w:noHBand="0" w:noVBand="1"/>
      </w:tblPr>
      <w:tblGrid>
        <w:gridCol w:w="9350"/>
      </w:tblGrid>
      <w:tr w:rsidR="00547A86" w14:paraId="3D5C3F83" w14:textId="77777777" w:rsidTr="00547A86">
        <w:trPr>
          <w:trHeight w:val="3299"/>
        </w:trPr>
        <w:tc>
          <w:tcPr>
            <w:tcW w:w="935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3C594DBE" w14:textId="77777777" w:rsidR="00547A86" w:rsidRDefault="00547A86" w:rsidP="00547A86">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Term and Termination</w:t>
            </w:r>
          </w:p>
          <w:p w14:paraId="49084B30" w14:textId="77777777" w:rsidR="00547A86" w:rsidRDefault="00547A86" w:rsidP="00547A86">
            <w:pPr>
              <w:widowControl w:val="0"/>
              <w:autoSpaceDE w:val="0"/>
              <w:autoSpaceDN w:val="0"/>
              <w:adjustRightInd w:val="0"/>
              <w:spacing w:after="0" w:line="240" w:lineRule="auto"/>
              <w:jc w:val="both"/>
              <w:rPr>
                <w:rFonts w:ascii="Arial" w:hAnsi="Arial" w:cs="Arial"/>
                <w:color w:val="0E568C"/>
                <w:sz w:val="18"/>
                <w:szCs w:val="18"/>
              </w:rPr>
            </w:pPr>
            <w:bookmarkStart w:id="5" w:name="co_anchor_a539045_1"/>
            <w:bookmarkEnd w:id="5"/>
          </w:p>
          <w:p w14:paraId="5E39501F" w14:textId="5C8E0879" w:rsidR="00547A86" w:rsidRDefault="00547A86" w:rsidP="00547A86">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Letters of intent usually terminate after a certain period of time or on the occurrence of certain events (such as the signing of the event service agreement or on mutual agreement of the parties). The date to be included in </w:t>
            </w:r>
            <w:r w:rsidR="00CB2EB5">
              <w:rPr>
                <w:rFonts w:ascii="Arial" w:hAnsi="Arial" w:cs="Arial"/>
                <w:sz w:val="18"/>
                <w:szCs w:val="18"/>
              </w:rPr>
              <w:t xml:space="preserve">Section 3 </w:t>
            </w:r>
            <w:r>
              <w:rPr>
                <w:rFonts w:ascii="Arial" w:hAnsi="Arial" w:cs="Arial"/>
                <w:color w:val="000000"/>
                <w:sz w:val="18"/>
                <w:szCs w:val="18"/>
              </w:rPr>
              <w:t xml:space="preserve">should provide a reasonable period of time for negotiation of the agreement and any due diligence that might be required. </w:t>
            </w:r>
            <w:r w:rsidR="00CB2EB5">
              <w:rPr>
                <w:rFonts w:ascii="Arial" w:hAnsi="Arial" w:cs="Arial"/>
                <w:color w:val="000000"/>
                <w:sz w:val="18"/>
                <w:szCs w:val="18"/>
              </w:rPr>
              <w:t>S</w:t>
            </w:r>
            <w:r w:rsidR="00132BB8">
              <w:rPr>
                <w:rFonts w:ascii="Arial" w:hAnsi="Arial" w:cs="Arial"/>
                <w:color w:val="000000"/>
                <w:sz w:val="18"/>
                <w:szCs w:val="18"/>
              </w:rPr>
              <w:t>ection</w:t>
            </w:r>
            <w:r w:rsidR="00CB2EB5">
              <w:rPr>
                <w:rFonts w:ascii="Arial" w:hAnsi="Arial" w:cs="Arial"/>
                <w:color w:val="000000"/>
                <w:sz w:val="18"/>
                <w:szCs w:val="18"/>
              </w:rPr>
              <w:t xml:space="preserve"> 3</w:t>
            </w:r>
            <w:r>
              <w:rPr>
                <w:rFonts w:ascii="Arial" w:hAnsi="Arial" w:cs="Arial"/>
                <w:color w:val="000000"/>
                <w:sz w:val="18"/>
                <w:szCs w:val="18"/>
              </w:rPr>
              <w:t xml:space="preserve"> also sets out those provisions that survive the termination of the letter of intent. Normally, this includes:</w:t>
            </w:r>
          </w:p>
          <w:p w14:paraId="57C38D60" w14:textId="77777777" w:rsidR="00547A86" w:rsidRDefault="00547A86" w:rsidP="00547A86">
            <w:pPr>
              <w:widowControl w:val="0"/>
              <w:numPr>
                <w:ilvl w:val="0"/>
                <w:numId w:val="27"/>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Governing law.</w:t>
            </w:r>
          </w:p>
          <w:p w14:paraId="04138D18" w14:textId="77777777" w:rsidR="00547A86" w:rsidRDefault="00547A86" w:rsidP="00547A86">
            <w:pPr>
              <w:widowControl w:val="0"/>
              <w:numPr>
                <w:ilvl w:val="0"/>
                <w:numId w:val="28"/>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Confidentiality.</w:t>
            </w:r>
          </w:p>
          <w:p w14:paraId="7D1896CD" w14:textId="77777777" w:rsidR="00547A86" w:rsidRDefault="00547A86" w:rsidP="00547A86">
            <w:pPr>
              <w:widowControl w:val="0"/>
              <w:numPr>
                <w:ilvl w:val="0"/>
                <w:numId w:val="29"/>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No third-party beneficiaries.</w:t>
            </w:r>
          </w:p>
          <w:p w14:paraId="335E2272" w14:textId="77777777" w:rsidR="00547A86" w:rsidRPr="00C27631" w:rsidRDefault="00547A86" w:rsidP="00547A86">
            <w:pPr>
              <w:widowControl w:val="0"/>
              <w:autoSpaceDE w:val="0"/>
              <w:autoSpaceDN w:val="0"/>
              <w:adjustRightInd w:val="0"/>
              <w:spacing w:before="180" w:after="0" w:line="240" w:lineRule="auto"/>
              <w:jc w:val="both"/>
              <w:rPr>
                <w:rFonts w:ascii="Arial" w:hAnsi="Arial" w:cs="Arial"/>
                <w:color w:val="000000"/>
                <w:sz w:val="18"/>
                <w:szCs w:val="18"/>
              </w:rPr>
            </w:pPr>
            <w:r>
              <w:rPr>
                <w:rFonts w:ascii="Arial" w:hAnsi="Arial" w:cs="Arial"/>
                <w:color w:val="000000"/>
                <w:sz w:val="18"/>
                <w:szCs w:val="18"/>
              </w:rPr>
              <w:t>This provision also provides that the parties continue to have the right, following termination, to pursue any remedies for breaches that arise before termination.</w:t>
            </w:r>
          </w:p>
        </w:tc>
      </w:tr>
    </w:tbl>
    <w:p w14:paraId="1239CB52"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5EE014F9"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6" w:name="co_anchor_a527942_1"/>
      <w:bookmarkEnd w:id="6"/>
    </w:p>
    <w:p w14:paraId="559188F8"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4.  </w:t>
      </w:r>
      <w:r>
        <w:rPr>
          <w:rFonts w:ascii="Arial" w:hAnsi="Arial" w:cs="Arial"/>
          <w:color w:val="000000"/>
          <w:sz w:val="18"/>
          <w:szCs w:val="18"/>
          <w:u w:val="single"/>
        </w:rPr>
        <w:t>Governing Law</w:t>
      </w:r>
      <w:r>
        <w:rPr>
          <w:rFonts w:ascii="Arial" w:hAnsi="Arial" w:cs="Arial"/>
          <w:color w:val="000000"/>
          <w:sz w:val="18"/>
          <w:szCs w:val="18"/>
        </w:rPr>
        <w:t>. This LOI shall be governed by and construed in accordance with the internal laws of the state of [</w:t>
      </w:r>
      <w:r w:rsidRPr="00172AC7">
        <w:rPr>
          <w:rFonts w:ascii="Arial" w:hAnsi="Arial" w:cs="Arial"/>
          <w:color w:val="000000"/>
          <w:sz w:val="18"/>
          <w:szCs w:val="18"/>
          <w:highlight w:val="yellow"/>
        </w:rPr>
        <w:t>STATE</w:t>
      </w:r>
      <w:r>
        <w:rPr>
          <w:rFonts w:ascii="Arial" w:hAnsi="Arial" w:cs="Arial"/>
          <w:color w:val="000000"/>
          <w:sz w:val="18"/>
          <w:szCs w:val="18"/>
        </w:rPr>
        <w:t>], without giving effect to any choice or conflict of law provision or rule (whether of the state of [</w:t>
      </w:r>
      <w:r w:rsidRPr="00172AC7">
        <w:rPr>
          <w:rFonts w:ascii="Arial" w:hAnsi="Arial" w:cs="Arial"/>
          <w:color w:val="000000"/>
          <w:sz w:val="18"/>
          <w:szCs w:val="18"/>
          <w:highlight w:val="yellow"/>
        </w:rPr>
        <w:t>STATE</w:t>
      </w:r>
      <w:r>
        <w:rPr>
          <w:rFonts w:ascii="Arial" w:hAnsi="Arial" w:cs="Arial"/>
          <w:color w:val="000000"/>
          <w:sz w:val="18"/>
          <w:szCs w:val="18"/>
        </w:rPr>
        <w:t>] or any other jurisdiction) that would cause the application of laws of any jurisdiction other than those of the state of [</w:t>
      </w:r>
      <w:r w:rsidRPr="00172AC7">
        <w:rPr>
          <w:rFonts w:ascii="Arial" w:hAnsi="Arial" w:cs="Arial"/>
          <w:color w:val="000000"/>
          <w:sz w:val="18"/>
          <w:szCs w:val="18"/>
          <w:highlight w:val="yellow"/>
        </w:rPr>
        <w:t>STATE</w:t>
      </w:r>
      <w:r>
        <w:rPr>
          <w:rFonts w:ascii="Arial" w:hAnsi="Arial" w:cs="Arial"/>
          <w:color w:val="000000"/>
          <w:sz w:val="18"/>
          <w:szCs w:val="18"/>
        </w:rPr>
        <w:t>].</w:t>
      </w:r>
    </w:p>
    <w:p w14:paraId="4E39D1EB"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133"/>
        <w:tblW w:w="9360" w:type="dxa"/>
        <w:tblLayout w:type="fixed"/>
        <w:tblCellMar>
          <w:left w:w="0" w:type="dxa"/>
          <w:right w:w="0" w:type="dxa"/>
        </w:tblCellMar>
        <w:tblLook w:val="04A0" w:firstRow="1" w:lastRow="0" w:firstColumn="1" w:lastColumn="0" w:noHBand="0" w:noVBand="1"/>
      </w:tblPr>
      <w:tblGrid>
        <w:gridCol w:w="9360"/>
      </w:tblGrid>
      <w:tr w:rsidR="00CB2EB5" w14:paraId="3445573A" w14:textId="77777777" w:rsidTr="00CB2EB5">
        <w:trPr>
          <w:trHeight w:val="1243"/>
        </w:trPr>
        <w:tc>
          <w:tcPr>
            <w:tcW w:w="936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655D8980" w14:textId="77777777" w:rsidR="00CB2EB5" w:rsidRDefault="00CB2EB5" w:rsidP="00CB2EB5">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Governing Law</w:t>
            </w:r>
          </w:p>
          <w:p w14:paraId="5070E1DE" w14:textId="77777777" w:rsidR="00CB2EB5" w:rsidRDefault="00CB2EB5" w:rsidP="00CB2EB5">
            <w:pPr>
              <w:widowControl w:val="0"/>
              <w:autoSpaceDE w:val="0"/>
              <w:autoSpaceDN w:val="0"/>
              <w:adjustRightInd w:val="0"/>
              <w:spacing w:after="0" w:line="240" w:lineRule="auto"/>
              <w:jc w:val="both"/>
              <w:rPr>
                <w:rFonts w:ascii="Arial" w:hAnsi="Arial" w:cs="Arial"/>
                <w:color w:val="0E568C"/>
                <w:sz w:val="18"/>
                <w:szCs w:val="18"/>
              </w:rPr>
            </w:pPr>
            <w:bookmarkStart w:id="7" w:name="co_anchor_a615033_1"/>
            <w:bookmarkEnd w:id="7"/>
          </w:p>
          <w:p w14:paraId="1595F0D8" w14:textId="77777777" w:rsidR="00CB2EB5" w:rsidRPr="00C27631"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The parties should choose the law of a state that has a relationship to the parties or the proposed transaction, or there should be some other reasonable basis for the choice. The parties should also consider whether the choice of governing law for a preliminary agreement like the letter of intent sets a precedent for the choice of law for the event service agreement.</w:t>
            </w:r>
          </w:p>
        </w:tc>
      </w:tr>
    </w:tbl>
    <w:p w14:paraId="2094E2FE"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238B1D94" w14:textId="77777777" w:rsidR="00CB2EB5" w:rsidRDefault="00CB2EB5" w:rsidP="000E354A">
      <w:pPr>
        <w:widowControl w:val="0"/>
        <w:autoSpaceDE w:val="0"/>
        <w:autoSpaceDN w:val="0"/>
        <w:adjustRightInd w:val="0"/>
        <w:spacing w:after="0" w:line="240" w:lineRule="auto"/>
        <w:jc w:val="both"/>
        <w:rPr>
          <w:rFonts w:ascii="Arial" w:hAnsi="Arial" w:cs="Arial"/>
          <w:color w:val="000000"/>
          <w:sz w:val="18"/>
          <w:szCs w:val="18"/>
        </w:rPr>
      </w:pPr>
    </w:p>
    <w:p w14:paraId="1D07272D" w14:textId="0AD4DF6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5.  </w:t>
      </w:r>
      <w:r>
        <w:rPr>
          <w:rFonts w:ascii="Arial" w:hAnsi="Arial" w:cs="Arial"/>
          <w:color w:val="000000"/>
          <w:sz w:val="18"/>
          <w:szCs w:val="18"/>
          <w:u w:val="single"/>
        </w:rPr>
        <w:t>Confidentiality</w:t>
      </w:r>
      <w:r>
        <w:rPr>
          <w:rFonts w:ascii="Arial" w:hAnsi="Arial" w:cs="Arial"/>
          <w:color w:val="000000"/>
          <w:sz w:val="18"/>
          <w:szCs w:val="18"/>
        </w:rPr>
        <w:t>. This LOI, the matters discussed herein and information provided by one Party to the other in connection herewith (collectively, “</w:t>
      </w:r>
      <w:r>
        <w:rPr>
          <w:rFonts w:ascii="Arial" w:hAnsi="Arial" w:cs="Arial"/>
          <w:b/>
          <w:bCs/>
          <w:color w:val="000000"/>
          <w:sz w:val="18"/>
          <w:szCs w:val="18"/>
        </w:rPr>
        <w:t>Information</w:t>
      </w:r>
      <w:r>
        <w:rPr>
          <w:rFonts w:ascii="Arial" w:hAnsi="Arial" w:cs="Arial"/>
          <w:color w:val="000000"/>
          <w:sz w:val="18"/>
          <w:szCs w:val="18"/>
        </w:rPr>
        <w:t>”) are confidential and shall not be disclosed by the receiving Party without the written consent of the other, except to the extent that disclosure is required by law. When disclosure is required, the Party making the disclosure shall provide notice of the intended disclosure to the other Party and shall take all reasonable steps to limit the extent of the disclosure to the minimum required to comply with its legal obligations.</w:t>
      </w:r>
    </w:p>
    <w:p w14:paraId="017364EC" w14:textId="5D786846" w:rsidR="000E354A" w:rsidRPr="004E5894"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bookmarkStart w:id="8" w:name="co_anchor_a000001_1"/>
      <w:bookmarkEnd w:id="8"/>
    </w:p>
    <w:p w14:paraId="42F353C1"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Neither Party shall have any obligation with respect to any Information that is or becomes publicly available without fault of the Party receiving the Information.</w:t>
      </w:r>
    </w:p>
    <w:p w14:paraId="47281A91"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127"/>
        <w:tblW w:w="9350" w:type="dxa"/>
        <w:tblLayout w:type="fixed"/>
        <w:tblCellMar>
          <w:left w:w="0" w:type="dxa"/>
          <w:right w:w="0" w:type="dxa"/>
        </w:tblCellMar>
        <w:tblLook w:val="04A0" w:firstRow="1" w:lastRow="0" w:firstColumn="1" w:lastColumn="0" w:noHBand="0" w:noVBand="1"/>
      </w:tblPr>
      <w:tblGrid>
        <w:gridCol w:w="9350"/>
      </w:tblGrid>
      <w:tr w:rsidR="00CB2EB5" w14:paraId="5F3E95F3" w14:textId="77777777" w:rsidTr="00CB2EB5">
        <w:tc>
          <w:tcPr>
            <w:tcW w:w="935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04573F3A" w14:textId="77777777" w:rsidR="00CB2EB5" w:rsidRDefault="00CB2EB5" w:rsidP="00CB2EB5">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Confidentiality</w:t>
            </w:r>
          </w:p>
          <w:p w14:paraId="22213AF6" w14:textId="77777777" w:rsidR="00CB2EB5" w:rsidRDefault="00CB2EB5" w:rsidP="00CB2EB5">
            <w:pPr>
              <w:widowControl w:val="0"/>
              <w:autoSpaceDE w:val="0"/>
              <w:autoSpaceDN w:val="0"/>
              <w:adjustRightInd w:val="0"/>
              <w:spacing w:after="0" w:line="240" w:lineRule="auto"/>
              <w:jc w:val="both"/>
              <w:rPr>
                <w:rFonts w:ascii="Arial" w:hAnsi="Arial" w:cs="Arial"/>
                <w:color w:val="0E568C"/>
                <w:sz w:val="18"/>
                <w:szCs w:val="18"/>
              </w:rPr>
            </w:pPr>
            <w:bookmarkStart w:id="9" w:name="co_anchor_a974972_1"/>
            <w:bookmarkEnd w:id="9"/>
          </w:p>
          <w:p w14:paraId="6FDFAD41" w14:textId="0C7FF556"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The parties want to ensure that the commercially sensitive information in the letter of intent remains confidential. If a separate confidentiality agreement already exists between the parties, the letter of intent should simply:</w:t>
            </w:r>
          </w:p>
          <w:p w14:paraId="73069829" w14:textId="77777777" w:rsidR="00CB2EB5" w:rsidRDefault="00CB2EB5" w:rsidP="00CB2EB5">
            <w:pPr>
              <w:widowControl w:val="0"/>
              <w:numPr>
                <w:ilvl w:val="0"/>
                <w:numId w:val="30"/>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Acknowledge that the information is confidential.</w:t>
            </w:r>
          </w:p>
          <w:p w14:paraId="5F085F58" w14:textId="77777777" w:rsidR="00CB2EB5" w:rsidRPr="00C27631" w:rsidRDefault="00CB2EB5" w:rsidP="00CB2EB5">
            <w:pPr>
              <w:widowControl w:val="0"/>
              <w:numPr>
                <w:ilvl w:val="0"/>
                <w:numId w:val="31"/>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Make it clear that it is subject to the terms of the existing confidentiality agreement, which will continue in full force and effect.</w:t>
            </w:r>
          </w:p>
        </w:tc>
      </w:tr>
    </w:tbl>
    <w:p w14:paraId="12C49737" w14:textId="1AE9C950" w:rsidR="00CB2EB5" w:rsidRDefault="000E354A"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r w:rsidR="00CB2EB5">
        <w:rPr>
          <w:rFonts w:ascii="Arial" w:hAnsi="Arial" w:cs="Arial"/>
          <w:color w:val="000000"/>
          <w:sz w:val="18"/>
          <w:szCs w:val="18"/>
        </w:rPr>
        <w:t>‌</w:t>
      </w:r>
      <w:r w:rsidR="00CB2EB5">
        <w:rPr>
          <w:rFonts w:ascii="Arial" w:hAnsi="Arial" w:cs="Arial"/>
          <w:color w:val="CCCCCC"/>
          <w:position w:val="4"/>
          <w:sz w:val="30"/>
          <w:szCs w:val="30"/>
          <w:u w:val="thick"/>
        </w:rPr>
        <w:t xml:space="preserve">                                                                                                                                       </w:t>
      </w:r>
      <w:r w:rsidR="00CB2EB5">
        <w:rPr>
          <w:rFonts w:ascii="Arial" w:hAnsi="Arial" w:cs="Arial"/>
          <w:color w:val="000000"/>
          <w:sz w:val="18"/>
          <w:szCs w:val="18"/>
        </w:rPr>
        <w:t>‌</w:t>
      </w:r>
    </w:p>
    <w:p w14:paraId="5F690FFF"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10" w:name="co_anchor_a242006_1"/>
      <w:bookmarkEnd w:id="10"/>
    </w:p>
    <w:p w14:paraId="5C9785CC"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6.  </w:t>
      </w:r>
      <w:r>
        <w:rPr>
          <w:rFonts w:ascii="Arial" w:hAnsi="Arial" w:cs="Arial"/>
          <w:color w:val="000000"/>
          <w:sz w:val="18"/>
          <w:szCs w:val="18"/>
          <w:u w:val="single"/>
        </w:rPr>
        <w:t>No Third-Party Beneficiaries</w:t>
      </w:r>
      <w:r>
        <w:rPr>
          <w:rFonts w:ascii="Arial" w:hAnsi="Arial" w:cs="Arial"/>
          <w:color w:val="000000"/>
          <w:sz w:val="18"/>
          <w:szCs w:val="18"/>
        </w:rPr>
        <w:t>. Nothing herein is intended or shall be construed to confer upon any person or entity other than the Parties and their successors or assigns, any rights or remedies under or by reason of this LOI.</w:t>
      </w:r>
    </w:p>
    <w:p w14:paraId="15DCBB9C"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90"/>
        <w:tblW w:w="9350" w:type="dxa"/>
        <w:tblLayout w:type="fixed"/>
        <w:tblCellMar>
          <w:left w:w="0" w:type="dxa"/>
          <w:right w:w="0" w:type="dxa"/>
        </w:tblCellMar>
        <w:tblLook w:val="04A0" w:firstRow="1" w:lastRow="0" w:firstColumn="1" w:lastColumn="0" w:noHBand="0" w:noVBand="1"/>
      </w:tblPr>
      <w:tblGrid>
        <w:gridCol w:w="9350"/>
      </w:tblGrid>
      <w:tr w:rsidR="001E5AB0" w14:paraId="0B255EE1" w14:textId="77777777" w:rsidTr="001E5AB0">
        <w:tc>
          <w:tcPr>
            <w:tcW w:w="935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75205282" w14:textId="77777777" w:rsidR="001E5AB0" w:rsidRDefault="001E5AB0" w:rsidP="001E5AB0">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No Third-Party Beneficiaries</w:t>
            </w:r>
          </w:p>
          <w:p w14:paraId="740A2B20" w14:textId="77777777" w:rsidR="001E5AB0" w:rsidRDefault="001E5AB0" w:rsidP="001E5AB0">
            <w:pPr>
              <w:widowControl w:val="0"/>
              <w:autoSpaceDE w:val="0"/>
              <w:autoSpaceDN w:val="0"/>
              <w:adjustRightInd w:val="0"/>
              <w:spacing w:after="0" w:line="240" w:lineRule="auto"/>
              <w:jc w:val="both"/>
              <w:rPr>
                <w:rFonts w:ascii="Arial" w:hAnsi="Arial" w:cs="Arial"/>
                <w:color w:val="0E568C"/>
                <w:sz w:val="18"/>
                <w:szCs w:val="18"/>
              </w:rPr>
            </w:pPr>
            <w:bookmarkStart w:id="11" w:name="co_anchor_a109785_1"/>
            <w:bookmarkEnd w:id="11"/>
          </w:p>
          <w:p w14:paraId="45256C07" w14:textId="3CE1C765" w:rsidR="001E5AB0" w:rsidRDefault="001E5AB0" w:rsidP="001E5AB0">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The provision of services frequently impacts the expectations of third parties, such as downstream vendors and subcontractors. The parties should include a provision such as </w:t>
            </w:r>
            <w:r w:rsidRPr="00C27631">
              <w:rPr>
                <w:rFonts w:ascii="Arial" w:hAnsi="Arial" w:cs="Arial"/>
                <w:sz w:val="18"/>
                <w:szCs w:val="18"/>
              </w:rPr>
              <w:t>Section 6</w:t>
            </w:r>
            <w:r>
              <w:rPr>
                <w:rFonts w:ascii="Arial" w:hAnsi="Arial" w:cs="Arial"/>
                <w:color w:val="000000"/>
                <w:sz w:val="18"/>
                <w:szCs w:val="18"/>
              </w:rPr>
              <w:t xml:space="preserve"> to:</w:t>
            </w:r>
          </w:p>
          <w:p w14:paraId="47AE16B1" w14:textId="77777777" w:rsidR="001E5AB0" w:rsidRDefault="001E5AB0" w:rsidP="001E5AB0">
            <w:pPr>
              <w:widowControl w:val="0"/>
              <w:numPr>
                <w:ilvl w:val="0"/>
                <w:numId w:val="32"/>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Reduce the expectations of third parties who might rely on the existence of the LOI to ramp up production or allocate funds.</w:t>
            </w:r>
          </w:p>
          <w:p w14:paraId="7CA96F72" w14:textId="77777777" w:rsidR="001E5AB0" w:rsidRPr="00C27631" w:rsidRDefault="001E5AB0" w:rsidP="001E5AB0">
            <w:pPr>
              <w:widowControl w:val="0"/>
              <w:numPr>
                <w:ilvl w:val="0"/>
                <w:numId w:val="33"/>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Disclaim any liability for any reliance of third parties that may be based on the expectation that the parties will enter into an event service agreement.</w:t>
            </w:r>
          </w:p>
        </w:tc>
      </w:tr>
    </w:tbl>
    <w:p w14:paraId="7A63795E" w14:textId="5B8949D1" w:rsidR="00CB2EB5" w:rsidRDefault="000E354A"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r w:rsidR="00CB2EB5">
        <w:rPr>
          <w:rFonts w:ascii="Arial" w:hAnsi="Arial" w:cs="Arial"/>
          <w:color w:val="000000"/>
          <w:sz w:val="18"/>
          <w:szCs w:val="18"/>
        </w:rPr>
        <w:t>‌</w:t>
      </w:r>
      <w:r w:rsidR="00CB2EB5">
        <w:rPr>
          <w:rFonts w:ascii="Arial" w:hAnsi="Arial" w:cs="Arial"/>
          <w:color w:val="CCCCCC"/>
          <w:position w:val="4"/>
          <w:sz w:val="30"/>
          <w:szCs w:val="30"/>
          <w:u w:val="thick"/>
        </w:rPr>
        <w:t xml:space="preserve">                                                                                                                                       </w:t>
      </w:r>
      <w:r w:rsidR="00CB2EB5">
        <w:rPr>
          <w:rFonts w:ascii="Arial" w:hAnsi="Arial" w:cs="Arial"/>
          <w:color w:val="000000"/>
          <w:sz w:val="18"/>
          <w:szCs w:val="18"/>
        </w:rPr>
        <w:t>‌</w:t>
      </w:r>
    </w:p>
    <w:p w14:paraId="78095F52"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12" w:name="co_anchor_a201166_1"/>
      <w:bookmarkEnd w:id="12"/>
    </w:p>
    <w:p w14:paraId="3D2A7B4E" w14:textId="4A6A1920"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7.  </w:t>
      </w:r>
      <w:r>
        <w:rPr>
          <w:rFonts w:ascii="Arial" w:hAnsi="Arial" w:cs="Arial"/>
          <w:color w:val="000000"/>
          <w:sz w:val="18"/>
          <w:szCs w:val="18"/>
          <w:u w:val="single"/>
        </w:rPr>
        <w:t>Miscellaneous</w:t>
      </w:r>
      <w:r>
        <w:rPr>
          <w:rFonts w:ascii="Arial" w:hAnsi="Arial" w:cs="Arial"/>
          <w:color w:val="000000"/>
          <w:sz w:val="18"/>
          <w:szCs w:val="18"/>
        </w:rPr>
        <w:t xml:space="preserve">. Neither this LOI nor any rights or obligations hereunder may be assigned, delegated, or conveyed by either Party without the prior written consent of the other Party. This LOI may be executed in counterparts, each of which shall be deemed to be an original, but all of which together shall constitute one agreement. The headings of the various sections of this LOI have been inserted for reference only and shall not be deemed to be a part of this LOI. </w:t>
      </w:r>
    </w:p>
    <w:p w14:paraId="45B32F53"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3C088E89"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tbl>
      <w:tblPr>
        <w:tblW w:w="9067" w:type="dxa"/>
        <w:tblInd w:w="283" w:type="dxa"/>
        <w:tblLayout w:type="fixed"/>
        <w:tblCellMar>
          <w:left w:w="0" w:type="dxa"/>
          <w:right w:w="0" w:type="dxa"/>
        </w:tblCellMar>
        <w:tblLook w:val="04A0" w:firstRow="1" w:lastRow="0" w:firstColumn="1" w:lastColumn="0" w:noHBand="0" w:noVBand="1"/>
      </w:tblPr>
      <w:tblGrid>
        <w:gridCol w:w="9067"/>
      </w:tblGrid>
      <w:tr w:rsidR="000E354A" w14:paraId="6BFF0AB2" w14:textId="77777777" w:rsidTr="00CB2EB5">
        <w:trPr>
          <w:trHeight w:val="614"/>
        </w:trPr>
        <w:tc>
          <w:tcPr>
            <w:tcW w:w="9067"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2F50E34E" w14:textId="77777777" w:rsidR="000E354A" w:rsidRDefault="000E354A" w:rsidP="00CB2EB5">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lastRenderedPageBreak/>
              <w:t>Drafting Note: Miscellaneous</w:t>
            </w:r>
          </w:p>
          <w:p w14:paraId="4D2CF064" w14:textId="77777777" w:rsidR="000E354A" w:rsidRDefault="000E354A" w:rsidP="00CB2EB5">
            <w:pPr>
              <w:widowControl w:val="0"/>
              <w:autoSpaceDE w:val="0"/>
              <w:autoSpaceDN w:val="0"/>
              <w:adjustRightInd w:val="0"/>
              <w:spacing w:after="0" w:line="240" w:lineRule="auto"/>
              <w:jc w:val="both"/>
              <w:rPr>
                <w:rFonts w:ascii="Arial" w:hAnsi="Arial" w:cs="Arial"/>
                <w:color w:val="0E568C"/>
                <w:sz w:val="18"/>
                <w:szCs w:val="18"/>
              </w:rPr>
            </w:pPr>
            <w:bookmarkStart w:id="13" w:name="co_anchor_a804685_1"/>
            <w:bookmarkEnd w:id="13"/>
          </w:p>
          <w:p w14:paraId="500F09FD" w14:textId="77777777" w:rsidR="000E354A" w:rsidRPr="00C27631" w:rsidRDefault="000E354A"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Letters of intent like this do not typically contain overly detailed boilerplate provisions. </w:t>
            </w:r>
          </w:p>
        </w:tc>
      </w:tr>
    </w:tbl>
    <w:p w14:paraId="6352AEB3"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3CFE8C9F"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14" w:name="co_anchor_a994298_1"/>
      <w:bookmarkEnd w:id="14"/>
    </w:p>
    <w:p w14:paraId="0C65930C"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If you are in agreement with the terms set forth above and wish to proceed with negotiating an Event Service Agreement for the proposed Transaction on that basis, please sign this LOI in the space provided below and return an executed copy to the attention of [</w:t>
      </w:r>
      <w:r w:rsidRPr="00C27631">
        <w:rPr>
          <w:rFonts w:ascii="Arial" w:hAnsi="Arial" w:cs="Arial"/>
          <w:color w:val="000000"/>
          <w:sz w:val="18"/>
          <w:szCs w:val="18"/>
          <w:highlight w:val="yellow"/>
        </w:rPr>
        <w:t>NAME</w:t>
      </w:r>
      <w:r>
        <w:rPr>
          <w:rFonts w:ascii="Arial" w:hAnsi="Arial" w:cs="Arial"/>
          <w:color w:val="000000"/>
          <w:sz w:val="18"/>
          <w:szCs w:val="18"/>
        </w:rPr>
        <w:t>].</w:t>
      </w:r>
    </w:p>
    <w:p w14:paraId="2FC6DA53"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tbl>
      <w:tblPr>
        <w:tblW w:w="10080" w:type="dxa"/>
        <w:tblInd w:w="27" w:type="dxa"/>
        <w:tblLayout w:type="fixed"/>
        <w:tblCellMar>
          <w:left w:w="0" w:type="dxa"/>
          <w:right w:w="0" w:type="dxa"/>
        </w:tblCellMar>
        <w:tblLook w:val="04A0" w:firstRow="1" w:lastRow="0" w:firstColumn="1" w:lastColumn="0" w:noHBand="0" w:noVBand="1"/>
      </w:tblPr>
      <w:tblGrid>
        <w:gridCol w:w="5040"/>
        <w:gridCol w:w="5040"/>
      </w:tblGrid>
      <w:tr w:rsidR="000E354A" w14:paraId="230AB9C2" w14:textId="77777777" w:rsidTr="001E5AB0">
        <w:tc>
          <w:tcPr>
            <w:tcW w:w="5040" w:type="dxa"/>
            <w:tcMar>
              <w:top w:w="0" w:type="dxa"/>
              <w:left w:w="27" w:type="dxa"/>
              <w:bottom w:w="0" w:type="dxa"/>
              <w:right w:w="27" w:type="dxa"/>
            </w:tcMar>
          </w:tcPr>
          <w:p w14:paraId="7AB26702"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r>
              <w:rPr>
                <w:rFonts w:ascii="Arial" w:hAnsi="Arial" w:cs="Arial"/>
                <w:color w:val="000000"/>
                <w:sz w:val="18"/>
                <w:szCs w:val="18"/>
              </w:rPr>
              <w:t> </w:t>
            </w:r>
          </w:p>
          <w:p w14:paraId="2926B529"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p>
        </w:tc>
        <w:tc>
          <w:tcPr>
            <w:tcW w:w="5040" w:type="dxa"/>
            <w:tcMar>
              <w:top w:w="0" w:type="dxa"/>
              <w:left w:w="27" w:type="dxa"/>
              <w:bottom w:w="0" w:type="dxa"/>
              <w:right w:w="27" w:type="dxa"/>
            </w:tcMar>
          </w:tcPr>
          <w:p w14:paraId="0FD5F5BF" w14:textId="4EF28C26" w:rsidR="001E5AB0"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Very truly yours,</w:t>
            </w:r>
          </w:p>
          <w:p w14:paraId="49F77834" w14:textId="77777777" w:rsidR="001E5AB0" w:rsidRDefault="001E5AB0" w:rsidP="0053271B">
            <w:pPr>
              <w:widowControl w:val="0"/>
              <w:autoSpaceDE w:val="0"/>
              <w:autoSpaceDN w:val="0"/>
              <w:adjustRightInd w:val="0"/>
              <w:spacing w:after="18" w:line="240" w:lineRule="auto"/>
              <w:ind w:left="27" w:right="27"/>
              <w:rPr>
                <w:rFonts w:ascii="Arial" w:hAnsi="Arial" w:cs="Arial"/>
                <w:color w:val="000000"/>
                <w:sz w:val="18"/>
                <w:szCs w:val="18"/>
              </w:rPr>
            </w:pPr>
          </w:p>
          <w:p w14:paraId="2B701E88"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w:t>
            </w:r>
            <w:r w:rsidRPr="009C4F31">
              <w:rPr>
                <w:rFonts w:ascii="Arial" w:hAnsi="Arial" w:cs="Arial"/>
                <w:color w:val="000000"/>
                <w:sz w:val="18"/>
                <w:szCs w:val="18"/>
                <w:highlight w:val="yellow"/>
              </w:rPr>
              <w:t>DMC’S NAME</w:t>
            </w:r>
            <w:r>
              <w:rPr>
                <w:rFonts w:ascii="Arial" w:hAnsi="Arial" w:cs="Arial"/>
                <w:color w:val="000000"/>
                <w:sz w:val="18"/>
                <w:szCs w:val="18"/>
              </w:rPr>
              <w:t>]</w:t>
            </w:r>
          </w:p>
          <w:p w14:paraId="074FFF88"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p>
        </w:tc>
      </w:tr>
      <w:tr w:rsidR="000E354A" w14:paraId="0D5992C4" w14:textId="77777777" w:rsidTr="001E5AB0">
        <w:tc>
          <w:tcPr>
            <w:tcW w:w="5040" w:type="dxa"/>
            <w:tcMar>
              <w:top w:w="0" w:type="dxa"/>
              <w:left w:w="27" w:type="dxa"/>
              <w:bottom w:w="0" w:type="dxa"/>
              <w:right w:w="27" w:type="dxa"/>
            </w:tcMar>
          </w:tcPr>
          <w:p w14:paraId="6D85078A"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r>
              <w:rPr>
                <w:rFonts w:ascii="Arial" w:hAnsi="Arial" w:cs="Arial"/>
                <w:color w:val="000000"/>
                <w:sz w:val="18"/>
                <w:szCs w:val="18"/>
              </w:rPr>
              <w:t> </w:t>
            </w:r>
          </w:p>
          <w:p w14:paraId="237F1E96"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p>
        </w:tc>
        <w:tc>
          <w:tcPr>
            <w:tcW w:w="5040" w:type="dxa"/>
            <w:tcMar>
              <w:top w:w="0" w:type="dxa"/>
              <w:left w:w="27" w:type="dxa"/>
              <w:bottom w:w="0" w:type="dxa"/>
              <w:right w:w="27" w:type="dxa"/>
            </w:tcMar>
          </w:tcPr>
          <w:p w14:paraId="5EC5383B"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By:_________________________</w:t>
            </w:r>
          </w:p>
          <w:p w14:paraId="4F0B242C"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Name:</w:t>
            </w:r>
          </w:p>
          <w:p w14:paraId="797785AC"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Title:</w:t>
            </w:r>
          </w:p>
          <w:p w14:paraId="79500194"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p>
        </w:tc>
      </w:tr>
      <w:tr w:rsidR="000E354A" w14:paraId="419E1BE8" w14:textId="77777777" w:rsidTr="001E5AB0">
        <w:tc>
          <w:tcPr>
            <w:tcW w:w="5040" w:type="dxa"/>
            <w:tcMar>
              <w:top w:w="0" w:type="dxa"/>
              <w:left w:w="27" w:type="dxa"/>
              <w:bottom w:w="0" w:type="dxa"/>
              <w:right w:w="27" w:type="dxa"/>
            </w:tcMar>
          </w:tcPr>
          <w:p w14:paraId="4061A618"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Agreed to and accepted:</w:t>
            </w:r>
          </w:p>
          <w:p w14:paraId="7D2DB16B"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w:t>
            </w:r>
            <w:r w:rsidRPr="00C27631">
              <w:rPr>
                <w:rFonts w:ascii="Arial" w:hAnsi="Arial" w:cs="Arial"/>
                <w:color w:val="000000"/>
                <w:sz w:val="18"/>
                <w:szCs w:val="18"/>
                <w:highlight w:val="yellow"/>
              </w:rPr>
              <w:t>CLIENT’S NAME</w:t>
            </w:r>
            <w:r>
              <w:rPr>
                <w:rFonts w:ascii="Arial" w:hAnsi="Arial" w:cs="Arial"/>
                <w:color w:val="000000"/>
                <w:sz w:val="18"/>
                <w:szCs w:val="18"/>
              </w:rPr>
              <w:t>]</w:t>
            </w:r>
          </w:p>
          <w:p w14:paraId="5CFC59BE"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p>
        </w:tc>
        <w:tc>
          <w:tcPr>
            <w:tcW w:w="5040" w:type="dxa"/>
            <w:tcMar>
              <w:top w:w="0" w:type="dxa"/>
              <w:left w:w="27" w:type="dxa"/>
              <w:bottom w:w="0" w:type="dxa"/>
              <w:right w:w="27" w:type="dxa"/>
            </w:tcMar>
          </w:tcPr>
          <w:p w14:paraId="580BC23C"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r>
              <w:rPr>
                <w:rFonts w:ascii="Arial" w:hAnsi="Arial" w:cs="Arial"/>
                <w:color w:val="000000"/>
                <w:sz w:val="18"/>
                <w:szCs w:val="18"/>
              </w:rPr>
              <w:t> </w:t>
            </w:r>
          </w:p>
          <w:p w14:paraId="56276D6F"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p>
        </w:tc>
      </w:tr>
      <w:tr w:rsidR="000E354A" w14:paraId="3D8B4B56" w14:textId="77777777" w:rsidTr="001E5AB0">
        <w:tc>
          <w:tcPr>
            <w:tcW w:w="5040" w:type="dxa"/>
            <w:tcMar>
              <w:top w:w="0" w:type="dxa"/>
              <w:left w:w="27" w:type="dxa"/>
              <w:bottom w:w="0" w:type="dxa"/>
              <w:right w:w="27" w:type="dxa"/>
            </w:tcMar>
          </w:tcPr>
          <w:p w14:paraId="69A1724A"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By: _________________________</w:t>
            </w:r>
          </w:p>
          <w:p w14:paraId="71AA6702"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Name:</w:t>
            </w:r>
          </w:p>
          <w:p w14:paraId="313EA7AC"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Title:</w:t>
            </w:r>
          </w:p>
          <w:p w14:paraId="4BB33359"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p>
        </w:tc>
        <w:tc>
          <w:tcPr>
            <w:tcW w:w="5040" w:type="dxa"/>
            <w:tcMar>
              <w:top w:w="0" w:type="dxa"/>
              <w:left w:w="27" w:type="dxa"/>
              <w:bottom w:w="0" w:type="dxa"/>
              <w:right w:w="27" w:type="dxa"/>
            </w:tcMar>
          </w:tcPr>
          <w:p w14:paraId="34C5AA36"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r>
              <w:rPr>
                <w:rFonts w:ascii="Arial" w:hAnsi="Arial" w:cs="Arial"/>
                <w:color w:val="000000"/>
                <w:sz w:val="18"/>
                <w:szCs w:val="18"/>
              </w:rPr>
              <w:t> </w:t>
            </w:r>
          </w:p>
          <w:p w14:paraId="1E1F9B08"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p>
        </w:tc>
      </w:tr>
      <w:tr w:rsidR="000E354A" w14:paraId="29B7A1ED" w14:textId="77777777" w:rsidTr="001E5AB0">
        <w:tc>
          <w:tcPr>
            <w:tcW w:w="10080" w:type="dxa"/>
            <w:gridSpan w:val="2"/>
            <w:tcMar>
              <w:top w:w="0" w:type="dxa"/>
              <w:left w:w="27" w:type="dxa"/>
              <w:bottom w:w="0" w:type="dxa"/>
              <w:right w:w="27" w:type="dxa"/>
            </w:tcMar>
          </w:tcPr>
          <w:p w14:paraId="634002C8" w14:textId="77777777" w:rsidR="000E354A" w:rsidRDefault="000E354A" w:rsidP="007951F1">
            <w:pPr>
              <w:widowControl w:val="0"/>
              <w:autoSpaceDE w:val="0"/>
              <w:autoSpaceDN w:val="0"/>
              <w:adjustRightInd w:val="0"/>
              <w:spacing w:after="0" w:line="240" w:lineRule="auto"/>
              <w:jc w:val="center"/>
              <w:rPr>
                <w:rFonts w:ascii="Arial" w:hAnsi="Arial" w:cs="Arial"/>
                <w:color w:val="000000"/>
                <w:sz w:val="18"/>
                <w:szCs w:val="18"/>
              </w:rPr>
            </w:pPr>
          </w:p>
        </w:tc>
      </w:tr>
    </w:tbl>
    <w:p w14:paraId="04CBD0D3"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p>
    <w:p w14:paraId="4D26D535" w14:textId="77777777" w:rsidR="007951F1" w:rsidRDefault="007951F1" w:rsidP="000B4106">
      <w:pPr>
        <w:spacing w:after="0"/>
        <w:jc w:val="center"/>
        <w:rPr>
          <w:rFonts w:ascii="Copperplate Gothic Bold" w:hAnsi="Copperplate Gothic Bold" w:cs="Arial"/>
          <w:sz w:val="96"/>
          <w:szCs w:val="96"/>
        </w:rPr>
      </w:pPr>
    </w:p>
    <w:p w14:paraId="2FC3BA4F" w14:textId="77777777" w:rsidR="007951F1" w:rsidRDefault="007951F1" w:rsidP="000B4106">
      <w:pPr>
        <w:spacing w:after="0"/>
        <w:jc w:val="center"/>
        <w:rPr>
          <w:rFonts w:ascii="Copperplate Gothic Bold" w:hAnsi="Copperplate Gothic Bold" w:cs="Arial"/>
          <w:sz w:val="96"/>
          <w:szCs w:val="96"/>
        </w:rPr>
      </w:pPr>
    </w:p>
    <w:p w14:paraId="618698D7" w14:textId="77777777" w:rsidR="007951F1" w:rsidRDefault="007951F1" w:rsidP="000B4106">
      <w:pPr>
        <w:spacing w:after="0"/>
        <w:jc w:val="center"/>
        <w:rPr>
          <w:rFonts w:ascii="Copperplate Gothic Bold" w:hAnsi="Copperplate Gothic Bold" w:cs="Arial"/>
          <w:sz w:val="96"/>
          <w:szCs w:val="96"/>
        </w:rPr>
      </w:pPr>
    </w:p>
    <w:p w14:paraId="31659DB5" w14:textId="77777777" w:rsidR="00164D43" w:rsidRDefault="00164D43">
      <w:pPr>
        <w:rPr>
          <w:rFonts w:ascii="Copperplate Gothic Bold" w:hAnsi="Copperplate Gothic Bold" w:cs="Arial"/>
          <w:sz w:val="96"/>
          <w:szCs w:val="96"/>
        </w:rPr>
      </w:pPr>
      <w:r>
        <w:rPr>
          <w:rFonts w:ascii="Copperplate Gothic Bold" w:hAnsi="Copperplate Gothic Bold" w:cs="Arial"/>
          <w:sz w:val="96"/>
          <w:szCs w:val="96"/>
        </w:rPr>
        <w:br w:type="page"/>
      </w:r>
    </w:p>
    <w:p w14:paraId="2351B636" w14:textId="5F5DED4D" w:rsidR="000B4106" w:rsidRDefault="007951F1" w:rsidP="000B4106">
      <w:pPr>
        <w:spacing w:after="0"/>
        <w:jc w:val="center"/>
        <w:rPr>
          <w:rFonts w:ascii="Copperplate Gothic Bold" w:hAnsi="Copperplate Gothic Bold" w:cs="Arial"/>
          <w:sz w:val="96"/>
          <w:szCs w:val="96"/>
        </w:rPr>
      </w:pPr>
      <w:r>
        <w:rPr>
          <w:rFonts w:ascii="Copperplate Gothic Bold" w:hAnsi="Copperplate Gothic Bold" w:cs="Arial"/>
          <w:sz w:val="96"/>
          <w:szCs w:val="96"/>
        </w:rPr>
        <w:lastRenderedPageBreak/>
        <w:t xml:space="preserve">Exhibit A </w:t>
      </w:r>
    </w:p>
    <w:p w14:paraId="369AF1C9" w14:textId="0072C675" w:rsidR="007951F1" w:rsidRDefault="007951F1" w:rsidP="000B4106">
      <w:pPr>
        <w:spacing w:after="0"/>
        <w:jc w:val="center"/>
        <w:rPr>
          <w:rFonts w:ascii="Copperplate Gothic Bold" w:hAnsi="Copperplate Gothic Bold" w:cs="Arial"/>
          <w:sz w:val="96"/>
          <w:szCs w:val="96"/>
        </w:rPr>
      </w:pPr>
      <w:r>
        <w:rPr>
          <w:rFonts w:ascii="Copperplate Gothic Bold" w:hAnsi="Copperplate Gothic Bold" w:cs="Arial"/>
          <w:sz w:val="96"/>
          <w:szCs w:val="96"/>
        </w:rPr>
        <w:t xml:space="preserve">Of </w:t>
      </w:r>
    </w:p>
    <w:p w14:paraId="4E34252F" w14:textId="2C348C2D" w:rsidR="007951F1" w:rsidRPr="009860C7" w:rsidRDefault="007951F1" w:rsidP="000B4106">
      <w:pPr>
        <w:spacing w:after="0"/>
        <w:jc w:val="center"/>
        <w:rPr>
          <w:rFonts w:ascii="Copperplate Gothic Bold" w:hAnsi="Copperplate Gothic Bold" w:cs="Arial"/>
          <w:sz w:val="96"/>
          <w:szCs w:val="96"/>
        </w:rPr>
      </w:pPr>
      <w:r>
        <w:rPr>
          <w:rFonts w:ascii="Copperplate Gothic Bold" w:hAnsi="Copperplate Gothic Bold" w:cs="Arial"/>
          <w:sz w:val="96"/>
          <w:szCs w:val="96"/>
        </w:rPr>
        <w:t>Letter of Intent</w:t>
      </w:r>
    </w:p>
    <w:sectPr w:rsidR="007951F1" w:rsidRPr="009860C7" w:rsidSect="008A6F32">
      <w:footerReference w:type="even" r:id="rId7"/>
      <w:pgSz w:w="12240" w:h="15840"/>
      <w:pgMar w:top="1440" w:right="1440" w:bottom="1440" w:left="1440" w:header="450" w:footer="4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600C" w14:textId="77777777" w:rsidR="008A6F32" w:rsidRDefault="008A6F32" w:rsidP="00825897">
      <w:pPr>
        <w:spacing w:after="0" w:line="240" w:lineRule="auto"/>
      </w:pPr>
      <w:r>
        <w:separator/>
      </w:r>
    </w:p>
  </w:endnote>
  <w:endnote w:type="continuationSeparator" w:id="0">
    <w:p w14:paraId="2560B46D" w14:textId="77777777" w:rsidR="008A6F32" w:rsidRDefault="008A6F32" w:rsidP="0082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73EB" w14:textId="77777777" w:rsidR="00AD4C5D" w:rsidRDefault="00AD4C5D" w:rsidP="001D3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F305E" w14:textId="77777777" w:rsidR="00AD4C5D" w:rsidRDefault="00AD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F101" w14:textId="77777777" w:rsidR="008A6F32" w:rsidRDefault="008A6F32" w:rsidP="00825897">
      <w:pPr>
        <w:spacing w:after="0" w:line="240" w:lineRule="auto"/>
      </w:pPr>
      <w:r>
        <w:separator/>
      </w:r>
    </w:p>
  </w:footnote>
  <w:footnote w:type="continuationSeparator" w:id="0">
    <w:p w14:paraId="7609FCE0" w14:textId="77777777" w:rsidR="008A6F32" w:rsidRDefault="008A6F32" w:rsidP="00825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9D24D"/>
    <w:multiLevelType w:val="singleLevel"/>
    <w:tmpl w:val="619147B5"/>
    <w:lvl w:ilvl="0">
      <w:numFmt w:val="decimal"/>
      <w:lvlText w:val="•"/>
      <w:lvlJc w:val="left"/>
      <w:pPr>
        <w:ind w:left="0" w:firstLine="0"/>
      </w:pPr>
    </w:lvl>
  </w:abstractNum>
  <w:abstractNum w:abstractNumId="1" w15:restartNumberingAfterBreak="0">
    <w:nsid w:val="94C59D27"/>
    <w:multiLevelType w:val="singleLevel"/>
    <w:tmpl w:val="B94F47D0"/>
    <w:lvl w:ilvl="0">
      <w:numFmt w:val="decimal"/>
      <w:lvlText w:val="•"/>
      <w:lvlJc w:val="left"/>
      <w:pPr>
        <w:ind w:left="0" w:firstLine="0"/>
      </w:pPr>
    </w:lvl>
  </w:abstractNum>
  <w:abstractNum w:abstractNumId="2" w15:restartNumberingAfterBreak="0">
    <w:nsid w:val="B062EAFB"/>
    <w:multiLevelType w:val="singleLevel"/>
    <w:tmpl w:val="3C7F5A36"/>
    <w:lvl w:ilvl="0">
      <w:numFmt w:val="decimal"/>
      <w:lvlText w:val="•"/>
      <w:lvlJc w:val="left"/>
      <w:pPr>
        <w:ind w:left="0" w:firstLine="0"/>
      </w:pPr>
    </w:lvl>
  </w:abstractNum>
  <w:abstractNum w:abstractNumId="3" w15:restartNumberingAfterBreak="0">
    <w:nsid w:val="B24CBBA8"/>
    <w:multiLevelType w:val="singleLevel"/>
    <w:tmpl w:val="CB855385"/>
    <w:lvl w:ilvl="0">
      <w:numFmt w:val="decimal"/>
      <w:lvlText w:val="•"/>
      <w:lvlJc w:val="left"/>
      <w:pPr>
        <w:ind w:left="0" w:firstLine="0"/>
      </w:pPr>
    </w:lvl>
  </w:abstractNum>
  <w:abstractNum w:abstractNumId="4" w15:restartNumberingAfterBreak="0">
    <w:nsid w:val="B4272BFD"/>
    <w:multiLevelType w:val="singleLevel"/>
    <w:tmpl w:val="596AD007"/>
    <w:lvl w:ilvl="0">
      <w:numFmt w:val="decimal"/>
      <w:lvlText w:val="•"/>
      <w:lvlJc w:val="left"/>
      <w:pPr>
        <w:ind w:left="0" w:firstLine="0"/>
      </w:pPr>
    </w:lvl>
  </w:abstractNum>
  <w:abstractNum w:abstractNumId="5" w15:restartNumberingAfterBreak="0">
    <w:nsid w:val="B4356C07"/>
    <w:multiLevelType w:val="singleLevel"/>
    <w:tmpl w:val="F9562174"/>
    <w:lvl w:ilvl="0">
      <w:numFmt w:val="decimal"/>
      <w:lvlText w:val="•"/>
      <w:lvlJc w:val="left"/>
      <w:pPr>
        <w:ind w:left="0" w:firstLine="0"/>
      </w:pPr>
    </w:lvl>
  </w:abstractNum>
  <w:abstractNum w:abstractNumId="6" w15:restartNumberingAfterBreak="0">
    <w:nsid w:val="C06CB61E"/>
    <w:multiLevelType w:val="singleLevel"/>
    <w:tmpl w:val="2C69F8EF"/>
    <w:lvl w:ilvl="0">
      <w:numFmt w:val="decimal"/>
      <w:lvlText w:val="•"/>
      <w:lvlJc w:val="left"/>
      <w:pPr>
        <w:ind w:left="0" w:firstLine="0"/>
      </w:pPr>
    </w:lvl>
  </w:abstractNum>
  <w:abstractNum w:abstractNumId="7" w15:restartNumberingAfterBreak="0">
    <w:nsid w:val="C7536C5F"/>
    <w:multiLevelType w:val="singleLevel"/>
    <w:tmpl w:val="5A746B32"/>
    <w:lvl w:ilvl="0">
      <w:numFmt w:val="decimal"/>
      <w:lvlText w:val="•"/>
      <w:lvlJc w:val="left"/>
      <w:pPr>
        <w:ind w:left="0" w:firstLine="0"/>
      </w:pPr>
    </w:lvl>
  </w:abstractNum>
  <w:abstractNum w:abstractNumId="8" w15:restartNumberingAfterBreak="0">
    <w:nsid w:val="CB11AC8B"/>
    <w:multiLevelType w:val="singleLevel"/>
    <w:tmpl w:val="3FE86BD5"/>
    <w:lvl w:ilvl="0">
      <w:numFmt w:val="decimal"/>
      <w:lvlText w:val="•"/>
      <w:lvlJc w:val="left"/>
      <w:pPr>
        <w:ind w:left="0" w:firstLine="0"/>
      </w:pPr>
    </w:lvl>
  </w:abstractNum>
  <w:abstractNum w:abstractNumId="9" w15:restartNumberingAfterBreak="0">
    <w:nsid w:val="CCBA90C7"/>
    <w:multiLevelType w:val="singleLevel"/>
    <w:tmpl w:val="E9BB7010"/>
    <w:lvl w:ilvl="0">
      <w:numFmt w:val="decimal"/>
      <w:lvlText w:val="•"/>
      <w:lvlJc w:val="left"/>
      <w:pPr>
        <w:ind w:left="0" w:firstLine="0"/>
      </w:pPr>
    </w:lvl>
  </w:abstractNum>
  <w:abstractNum w:abstractNumId="10" w15:restartNumberingAfterBreak="0">
    <w:nsid w:val="D310803E"/>
    <w:multiLevelType w:val="singleLevel"/>
    <w:tmpl w:val="3B3A33A4"/>
    <w:lvl w:ilvl="0">
      <w:numFmt w:val="decimal"/>
      <w:lvlText w:val="•"/>
      <w:lvlJc w:val="left"/>
      <w:pPr>
        <w:ind w:left="0" w:firstLine="0"/>
      </w:pPr>
    </w:lvl>
  </w:abstractNum>
  <w:abstractNum w:abstractNumId="11" w15:restartNumberingAfterBreak="0">
    <w:nsid w:val="D641E0B5"/>
    <w:multiLevelType w:val="singleLevel"/>
    <w:tmpl w:val="531F34DC"/>
    <w:lvl w:ilvl="0">
      <w:numFmt w:val="decimal"/>
      <w:lvlText w:val="•"/>
      <w:lvlJc w:val="left"/>
      <w:pPr>
        <w:ind w:left="0" w:firstLine="0"/>
      </w:pPr>
    </w:lvl>
  </w:abstractNum>
  <w:abstractNum w:abstractNumId="12" w15:restartNumberingAfterBreak="0">
    <w:nsid w:val="D6E26011"/>
    <w:multiLevelType w:val="singleLevel"/>
    <w:tmpl w:val="85BD7742"/>
    <w:lvl w:ilvl="0">
      <w:numFmt w:val="decimal"/>
      <w:lvlText w:val="•"/>
      <w:lvlJc w:val="left"/>
      <w:pPr>
        <w:ind w:left="0" w:firstLine="0"/>
      </w:pPr>
    </w:lvl>
  </w:abstractNum>
  <w:abstractNum w:abstractNumId="13" w15:restartNumberingAfterBreak="0">
    <w:nsid w:val="E797CD51"/>
    <w:multiLevelType w:val="singleLevel"/>
    <w:tmpl w:val="34210B05"/>
    <w:lvl w:ilvl="0">
      <w:numFmt w:val="decimal"/>
      <w:lvlText w:val="•"/>
      <w:lvlJc w:val="left"/>
      <w:pPr>
        <w:ind w:left="0" w:firstLine="0"/>
      </w:pPr>
    </w:lvl>
  </w:abstractNum>
  <w:abstractNum w:abstractNumId="14" w15:restartNumberingAfterBreak="0">
    <w:nsid w:val="F48DBD47"/>
    <w:multiLevelType w:val="singleLevel"/>
    <w:tmpl w:val="646C49EB"/>
    <w:lvl w:ilvl="0">
      <w:numFmt w:val="decimal"/>
      <w:lvlText w:val="•"/>
      <w:lvlJc w:val="left"/>
      <w:pPr>
        <w:ind w:left="0" w:firstLine="0"/>
      </w:pPr>
    </w:lvl>
  </w:abstractNum>
  <w:abstractNum w:abstractNumId="15" w15:restartNumberingAfterBreak="0">
    <w:nsid w:val="05991C18"/>
    <w:multiLevelType w:val="singleLevel"/>
    <w:tmpl w:val="13D7FC31"/>
    <w:lvl w:ilvl="0">
      <w:numFmt w:val="decimal"/>
      <w:lvlText w:val="•"/>
      <w:lvlJc w:val="left"/>
      <w:pPr>
        <w:ind w:left="0" w:firstLine="0"/>
      </w:pPr>
    </w:lvl>
  </w:abstractNum>
  <w:abstractNum w:abstractNumId="16" w15:restartNumberingAfterBreak="0">
    <w:nsid w:val="0650AAA7"/>
    <w:multiLevelType w:val="singleLevel"/>
    <w:tmpl w:val="5EB34738"/>
    <w:lvl w:ilvl="0">
      <w:numFmt w:val="decimal"/>
      <w:lvlText w:val="•"/>
      <w:lvlJc w:val="left"/>
      <w:pPr>
        <w:ind w:left="0" w:firstLine="0"/>
      </w:pPr>
    </w:lvl>
  </w:abstractNum>
  <w:abstractNum w:abstractNumId="17" w15:restartNumberingAfterBreak="0">
    <w:nsid w:val="0CA40098"/>
    <w:multiLevelType w:val="singleLevel"/>
    <w:tmpl w:val="C909F25F"/>
    <w:lvl w:ilvl="0">
      <w:numFmt w:val="decimal"/>
      <w:lvlText w:val="•"/>
      <w:lvlJc w:val="left"/>
      <w:pPr>
        <w:ind w:left="0" w:firstLine="0"/>
      </w:pPr>
    </w:lvl>
  </w:abstractNum>
  <w:abstractNum w:abstractNumId="18" w15:restartNumberingAfterBreak="0">
    <w:nsid w:val="149816AC"/>
    <w:multiLevelType w:val="singleLevel"/>
    <w:tmpl w:val="3C49674F"/>
    <w:lvl w:ilvl="0">
      <w:numFmt w:val="decimal"/>
      <w:lvlText w:val="•"/>
      <w:lvlJc w:val="left"/>
      <w:pPr>
        <w:ind w:left="0" w:firstLine="0"/>
      </w:pPr>
    </w:lvl>
  </w:abstractNum>
  <w:abstractNum w:abstractNumId="19" w15:restartNumberingAfterBreak="0">
    <w:nsid w:val="1E4980C6"/>
    <w:multiLevelType w:val="singleLevel"/>
    <w:tmpl w:val="F6564420"/>
    <w:lvl w:ilvl="0">
      <w:numFmt w:val="decimal"/>
      <w:lvlText w:val="•"/>
      <w:lvlJc w:val="left"/>
      <w:pPr>
        <w:ind w:left="0" w:firstLine="0"/>
      </w:pPr>
    </w:lvl>
  </w:abstractNum>
  <w:abstractNum w:abstractNumId="20" w15:restartNumberingAfterBreak="0">
    <w:nsid w:val="271A8527"/>
    <w:multiLevelType w:val="singleLevel"/>
    <w:tmpl w:val="A48F1123"/>
    <w:lvl w:ilvl="0">
      <w:numFmt w:val="decimal"/>
      <w:lvlText w:val="•"/>
      <w:lvlJc w:val="left"/>
      <w:pPr>
        <w:ind w:left="0" w:firstLine="0"/>
      </w:pPr>
    </w:lvl>
  </w:abstractNum>
  <w:abstractNum w:abstractNumId="21" w15:restartNumberingAfterBreak="0">
    <w:nsid w:val="29401EB9"/>
    <w:multiLevelType w:val="singleLevel"/>
    <w:tmpl w:val="98BD75EE"/>
    <w:lvl w:ilvl="0">
      <w:numFmt w:val="decimal"/>
      <w:lvlText w:val="•"/>
      <w:lvlJc w:val="left"/>
      <w:pPr>
        <w:ind w:left="0" w:firstLine="0"/>
      </w:pPr>
    </w:lvl>
  </w:abstractNum>
  <w:abstractNum w:abstractNumId="22" w15:restartNumberingAfterBreak="0">
    <w:nsid w:val="2D9E131A"/>
    <w:multiLevelType w:val="singleLevel"/>
    <w:tmpl w:val="3753BB87"/>
    <w:lvl w:ilvl="0">
      <w:numFmt w:val="decimal"/>
      <w:lvlText w:val="•"/>
      <w:lvlJc w:val="left"/>
      <w:pPr>
        <w:ind w:left="0" w:firstLine="0"/>
      </w:pPr>
    </w:lvl>
  </w:abstractNum>
  <w:abstractNum w:abstractNumId="23" w15:restartNumberingAfterBreak="0">
    <w:nsid w:val="384B5A15"/>
    <w:multiLevelType w:val="singleLevel"/>
    <w:tmpl w:val="1700DFF1"/>
    <w:lvl w:ilvl="0">
      <w:numFmt w:val="decimal"/>
      <w:lvlText w:val="•"/>
      <w:lvlJc w:val="left"/>
      <w:pPr>
        <w:ind w:left="0" w:firstLine="0"/>
      </w:pPr>
    </w:lvl>
  </w:abstractNum>
  <w:abstractNum w:abstractNumId="24" w15:restartNumberingAfterBreak="0">
    <w:nsid w:val="44F5A56A"/>
    <w:multiLevelType w:val="singleLevel"/>
    <w:tmpl w:val="7B0D7AE4"/>
    <w:lvl w:ilvl="0">
      <w:numFmt w:val="decimal"/>
      <w:lvlText w:val="•"/>
      <w:lvlJc w:val="left"/>
      <w:pPr>
        <w:ind w:left="0" w:firstLine="0"/>
      </w:pPr>
    </w:lvl>
  </w:abstractNum>
  <w:abstractNum w:abstractNumId="25" w15:restartNumberingAfterBreak="0">
    <w:nsid w:val="4DA4523A"/>
    <w:multiLevelType w:val="singleLevel"/>
    <w:tmpl w:val="FBF52C4E"/>
    <w:lvl w:ilvl="0">
      <w:numFmt w:val="decimal"/>
      <w:lvlText w:val="•"/>
      <w:lvlJc w:val="left"/>
      <w:pPr>
        <w:ind w:left="0" w:firstLine="0"/>
      </w:pPr>
    </w:lvl>
  </w:abstractNum>
  <w:abstractNum w:abstractNumId="26" w15:restartNumberingAfterBreak="0">
    <w:nsid w:val="4E648A33"/>
    <w:multiLevelType w:val="singleLevel"/>
    <w:tmpl w:val="8FE3BCBF"/>
    <w:lvl w:ilvl="0">
      <w:numFmt w:val="decimal"/>
      <w:lvlText w:val="•"/>
      <w:lvlJc w:val="left"/>
      <w:pPr>
        <w:ind w:left="0" w:firstLine="0"/>
      </w:pPr>
    </w:lvl>
  </w:abstractNum>
  <w:abstractNum w:abstractNumId="27" w15:restartNumberingAfterBreak="0">
    <w:nsid w:val="5857A179"/>
    <w:multiLevelType w:val="singleLevel"/>
    <w:tmpl w:val="13A4B824"/>
    <w:lvl w:ilvl="0">
      <w:numFmt w:val="decimal"/>
      <w:lvlText w:val="•"/>
      <w:lvlJc w:val="left"/>
      <w:pPr>
        <w:ind w:left="0" w:firstLine="0"/>
      </w:pPr>
    </w:lvl>
  </w:abstractNum>
  <w:abstractNum w:abstractNumId="28" w15:restartNumberingAfterBreak="0">
    <w:nsid w:val="61BBC474"/>
    <w:multiLevelType w:val="singleLevel"/>
    <w:tmpl w:val="4A5F1455"/>
    <w:lvl w:ilvl="0">
      <w:numFmt w:val="decimal"/>
      <w:lvlText w:val="•"/>
      <w:lvlJc w:val="left"/>
      <w:pPr>
        <w:ind w:left="0" w:firstLine="0"/>
      </w:pPr>
    </w:lvl>
  </w:abstractNum>
  <w:abstractNum w:abstractNumId="29" w15:restartNumberingAfterBreak="0">
    <w:nsid w:val="62C1F732"/>
    <w:multiLevelType w:val="singleLevel"/>
    <w:tmpl w:val="5A6F88D3"/>
    <w:lvl w:ilvl="0">
      <w:numFmt w:val="decimal"/>
      <w:lvlText w:val="•"/>
      <w:lvlJc w:val="left"/>
      <w:pPr>
        <w:ind w:left="0" w:firstLine="0"/>
      </w:pPr>
    </w:lvl>
  </w:abstractNum>
  <w:abstractNum w:abstractNumId="30" w15:restartNumberingAfterBreak="0">
    <w:nsid w:val="6A89E5B4"/>
    <w:multiLevelType w:val="singleLevel"/>
    <w:tmpl w:val="41063527"/>
    <w:lvl w:ilvl="0">
      <w:numFmt w:val="decimal"/>
      <w:lvlText w:val="•"/>
      <w:lvlJc w:val="left"/>
      <w:pPr>
        <w:ind w:left="0" w:firstLine="0"/>
      </w:pPr>
    </w:lvl>
  </w:abstractNum>
  <w:abstractNum w:abstractNumId="31" w15:restartNumberingAfterBreak="0">
    <w:nsid w:val="74E1BB5E"/>
    <w:multiLevelType w:val="singleLevel"/>
    <w:tmpl w:val="97F3C9C9"/>
    <w:lvl w:ilvl="0">
      <w:numFmt w:val="decimal"/>
      <w:lvlText w:val="•"/>
      <w:lvlJc w:val="left"/>
      <w:pPr>
        <w:ind w:left="0" w:firstLine="0"/>
      </w:pPr>
    </w:lvl>
  </w:abstractNum>
  <w:abstractNum w:abstractNumId="32" w15:restartNumberingAfterBreak="0">
    <w:nsid w:val="7561FDEF"/>
    <w:multiLevelType w:val="singleLevel"/>
    <w:tmpl w:val="3AC070BC"/>
    <w:lvl w:ilvl="0">
      <w:numFmt w:val="decimal"/>
      <w:lvlText w:val="•"/>
      <w:lvlJc w:val="left"/>
      <w:pPr>
        <w:ind w:left="0" w:firstLine="0"/>
      </w:pPr>
    </w:lvl>
  </w:abstractNum>
  <w:num w:numId="1" w16cid:durableId="925767661">
    <w:abstractNumId w:val="4"/>
  </w:num>
  <w:num w:numId="2" w16cid:durableId="1999308157">
    <w:abstractNumId w:val="26"/>
  </w:num>
  <w:num w:numId="3" w16cid:durableId="1758482857">
    <w:abstractNumId w:val="12"/>
  </w:num>
  <w:num w:numId="4" w16cid:durableId="551500120">
    <w:abstractNumId w:val="0"/>
  </w:num>
  <w:num w:numId="5" w16cid:durableId="113255142">
    <w:abstractNumId w:val="32"/>
  </w:num>
  <w:num w:numId="6" w16cid:durableId="897936722">
    <w:abstractNumId w:val="19"/>
  </w:num>
  <w:num w:numId="7" w16cid:durableId="946351767">
    <w:abstractNumId w:val="21"/>
  </w:num>
  <w:num w:numId="8" w16cid:durableId="156191501">
    <w:abstractNumId w:val="6"/>
  </w:num>
  <w:num w:numId="9" w16cid:durableId="1428386344">
    <w:abstractNumId w:val="24"/>
  </w:num>
  <w:num w:numId="10" w16cid:durableId="636227839">
    <w:abstractNumId w:val="15"/>
  </w:num>
  <w:num w:numId="11" w16cid:durableId="262299149">
    <w:abstractNumId w:val="13"/>
  </w:num>
  <w:num w:numId="12" w16cid:durableId="1958632603">
    <w:abstractNumId w:val="27"/>
  </w:num>
  <w:num w:numId="13" w16cid:durableId="1554847710">
    <w:abstractNumId w:val="2"/>
  </w:num>
  <w:num w:numId="14" w16cid:durableId="1147817002">
    <w:abstractNumId w:val="16"/>
  </w:num>
  <w:num w:numId="15" w16cid:durableId="1619140820">
    <w:abstractNumId w:val="3"/>
  </w:num>
  <w:num w:numId="16" w16cid:durableId="5523049">
    <w:abstractNumId w:val="1"/>
  </w:num>
  <w:num w:numId="17" w16cid:durableId="1668898228">
    <w:abstractNumId w:val="10"/>
  </w:num>
  <w:num w:numId="18" w16cid:durableId="1124613167">
    <w:abstractNumId w:val="20"/>
  </w:num>
  <w:num w:numId="19" w16cid:durableId="1191645749">
    <w:abstractNumId w:val="9"/>
  </w:num>
  <w:num w:numId="20" w16cid:durableId="1056707067">
    <w:abstractNumId w:val="5"/>
  </w:num>
  <w:num w:numId="21" w16cid:durableId="425662177">
    <w:abstractNumId w:val="17"/>
  </w:num>
  <w:num w:numId="22" w16cid:durableId="289635722">
    <w:abstractNumId w:val="22"/>
  </w:num>
  <w:num w:numId="23" w16cid:durableId="1747410182">
    <w:abstractNumId w:val="11"/>
  </w:num>
  <w:num w:numId="24" w16cid:durableId="436558934">
    <w:abstractNumId w:val="18"/>
  </w:num>
  <w:num w:numId="25" w16cid:durableId="440148848">
    <w:abstractNumId w:val="28"/>
  </w:num>
  <w:num w:numId="26" w16cid:durableId="1426076821">
    <w:abstractNumId w:val="14"/>
  </w:num>
  <w:num w:numId="27" w16cid:durableId="241914988">
    <w:abstractNumId w:val="7"/>
  </w:num>
  <w:num w:numId="28" w16cid:durableId="1913927681">
    <w:abstractNumId w:val="29"/>
  </w:num>
  <w:num w:numId="29" w16cid:durableId="1107189557">
    <w:abstractNumId w:val="31"/>
  </w:num>
  <w:num w:numId="30" w16cid:durableId="1799181987">
    <w:abstractNumId w:val="25"/>
  </w:num>
  <w:num w:numId="31" w16cid:durableId="1545287018">
    <w:abstractNumId w:val="23"/>
  </w:num>
  <w:num w:numId="32" w16cid:durableId="2147119657">
    <w:abstractNumId w:val="30"/>
  </w:num>
  <w:num w:numId="33" w16cid:durableId="1307004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1A"/>
    <w:rsid w:val="000042D6"/>
    <w:rsid w:val="00017D76"/>
    <w:rsid w:val="000604C1"/>
    <w:rsid w:val="00064F2D"/>
    <w:rsid w:val="0009213A"/>
    <w:rsid w:val="00094745"/>
    <w:rsid w:val="000A5042"/>
    <w:rsid w:val="000A6B57"/>
    <w:rsid w:val="000B4106"/>
    <w:rsid w:val="000B4BC9"/>
    <w:rsid w:val="000D55DC"/>
    <w:rsid w:val="000D6562"/>
    <w:rsid w:val="000D76CD"/>
    <w:rsid w:val="000E321A"/>
    <w:rsid w:val="000E354A"/>
    <w:rsid w:val="000E78DF"/>
    <w:rsid w:val="0011516F"/>
    <w:rsid w:val="00121058"/>
    <w:rsid w:val="00132BB8"/>
    <w:rsid w:val="00143354"/>
    <w:rsid w:val="00164D43"/>
    <w:rsid w:val="0017300D"/>
    <w:rsid w:val="001758E7"/>
    <w:rsid w:val="00191616"/>
    <w:rsid w:val="001B2E55"/>
    <w:rsid w:val="001B4095"/>
    <w:rsid w:val="001C0155"/>
    <w:rsid w:val="001D3BEB"/>
    <w:rsid w:val="001E216A"/>
    <w:rsid w:val="001E2FBD"/>
    <w:rsid w:val="001E3FCC"/>
    <w:rsid w:val="001E5AB0"/>
    <w:rsid w:val="001E5BDA"/>
    <w:rsid w:val="001F5FDA"/>
    <w:rsid w:val="00276F78"/>
    <w:rsid w:val="002934CF"/>
    <w:rsid w:val="00294D69"/>
    <w:rsid w:val="002959A4"/>
    <w:rsid w:val="002A4D4E"/>
    <w:rsid w:val="002B23B3"/>
    <w:rsid w:val="002C114D"/>
    <w:rsid w:val="002E2E16"/>
    <w:rsid w:val="002E3239"/>
    <w:rsid w:val="002E63BB"/>
    <w:rsid w:val="002F0A36"/>
    <w:rsid w:val="002F1CEE"/>
    <w:rsid w:val="002F51C4"/>
    <w:rsid w:val="002F6ABF"/>
    <w:rsid w:val="003155A0"/>
    <w:rsid w:val="00317D3D"/>
    <w:rsid w:val="003203E0"/>
    <w:rsid w:val="003330E8"/>
    <w:rsid w:val="003614BB"/>
    <w:rsid w:val="003652AA"/>
    <w:rsid w:val="00374742"/>
    <w:rsid w:val="00375FC2"/>
    <w:rsid w:val="003806D7"/>
    <w:rsid w:val="003866D6"/>
    <w:rsid w:val="0039264E"/>
    <w:rsid w:val="003A7658"/>
    <w:rsid w:val="003C13FC"/>
    <w:rsid w:val="003D4002"/>
    <w:rsid w:val="004260FB"/>
    <w:rsid w:val="00444F9E"/>
    <w:rsid w:val="00446473"/>
    <w:rsid w:val="004846C0"/>
    <w:rsid w:val="004B222B"/>
    <w:rsid w:val="004C6EB6"/>
    <w:rsid w:val="004E5894"/>
    <w:rsid w:val="004F6118"/>
    <w:rsid w:val="00506789"/>
    <w:rsid w:val="005133D0"/>
    <w:rsid w:val="00540214"/>
    <w:rsid w:val="00540E1F"/>
    <w:rsid w:val="005441F3"/>
    <w:rsid w:val="00547A86"/>
    <w:rsid w:val="0055030F"/>
    <w:rsid w:val="005535F2"/>
    <w:rsid w:val="005630EF"/>
    <w:rsid w:val="00596F6C"/>
    <w:rsid w:val="005A6D9B"/>
    <w:rsid w:val="005C6571"/>
    <w:rsid w:val="005D7988"/>
    <w:rsid w:val="005F69C2"/>
    <w:rsid w:val="005F7A58"/>
    <w:rsid w:val="00610173"/>
    <w:rsid w:val="00622494"/>
    <w:rsid w:val="00633158"/>
    <w:rsid w:val="00647A86"/>
    <w:rsid w:val="00660E1A"/>
    <w:rsid w:val="006644F3"/>
    <w:rsid w:val="0067228F"/>
    <w:rsid w:val="00672E2F"/>
    <w:rsid w:val="006B61C4"/>
    <w:rsid w:val="006C546F"/>
    <w:rsid w:val="006C7347"/>
    <w:rsid w:val="006D72EB"/>
    <w:rsid w:val="006F46E5"/>
    <w:rsid w:val="007072F2"/>
    <w:rsid w:val="00735EB7"/>
    <w:rsid w:val="00754650"/>
    <w:rsid w:val="00754F4C"/>
    <w:rsid w:val="007951F1"/>
    <w:rsid w:val="007E233F"/>
    <w:rsid w:val="007F4A20"/>
    <w:rsid w:val="007F6659"/>
    <w:rsid w:val="0080244A"/>
    <w:rsid w:val="0081617E"/>
    <w:rsid w:val="008225F9"/>
    <w:rsid w:val="00825897"/>
    <w:rsid w:val="00825D97"/>
    <w:rsid w:val="00850202"/>
    <w:rsid w:val="00854FA9"/>
    <w:rsid w:val="008734FD"/>
    <w:rsid w:val="008A6F32"/>
    <w:rsid w:val="008B6BD7"/>
    <w:rsid w:val="008D0122"/>
    <w:rsid w:val="008E3393"/>
    <w:rsid w:val="008F4338"/>
    <w:rsid w:val="00915656"/>
    <w:rsid w:val="00916FD9"/>
    <w:rsid w:val="00934997"/>
    <w:rsid w:val="00934C78"/>
    <w:rsid w:val="00943EF6"/>
    <w:rsid w:val="009508FE"/>
    <w:rsid w:val="0097202B"/>
    <w:rsid w:val="00983159"/>
    <w:rsid w:val="009860C7"/>
    <w:rsid w:val="009A7692"/>
    <w:rsid w:val="009B4D74"/>
    <w:rsid w:val="009E22D7"/>
    <w:rsid w:val="009E41A3"/>
    <w:rsid w:val="009E4673"/>
    <w:rsid w:val="00A06F0E"/>
    <w:rsid w:val="00A15841"/>
    <w:rsid w:val="00A17F27"/>
    <w:rsid w:val="00A27DC8"/>
    <w:rsid w:val="00A63432"/>
    <w:rsid w:val="00A67E86"/>
    <w:rsid w:val="00A9353C"/>
    <w:rsid w:val="00AC041F"/>
    <w:rsid w:val="00AC1943"/>
    <w:rsid w:val="00AD4C5D"/>
    <w:rsid w:val="00AD64A1"/>
    <w:rsid w:val="00AE5ABA"/>
    <w:rsid w:val="00B112E8"/>
    <w:rsid w:val="00B156C2"/>
    <w:rsid w:val="00B2299D"/>
    <w:rsid w:val="00B34F12"/>
    <w:rsid w:val="00B4568D"/>
    <w:rsid w:val="00B603E1"/>
    <w:rsid w:val="00B62A1E"/>
    <w:rsid w:val="00B76249"/>
    <w:rsid w:val="00B92234"/>
    <w:rsid w:val="00B959F7"/>
    <w:rsid w:val="00BA5C0F"/>
    <w:rsid w:val="00BB3D5D"/>
    <w:rsid w:val="00BE14DF"/>
    <w:rsid w:val="00BE3705"/>
    <w:rsid w:val="00C131B1"/>
    <w:rsid w:val="00C204BE"/>
    <w:rsid w:val="00C304BF"/>
    <w:rsid w:val="00C3188F"/>
    <w:rsid w:val="00C34D40"/>
    <w:rsid w:val="00C45252"/>
    <w:rsid w:val="00C533A7"/>
    <w:rsid w:val="00C60004"/>
    <w:rsid w:val="00C82110"/>
    <w:rsid w:val="00CA55B5"/>
    <w:rsid w:val="00CA6071"/>
    <w:rsid w:val="00CB2EB5"/>
    <w:rsid w:val="00CB5A5C"/>
    <w:rsid w:val="00CD2D0F"/>
    <w:rsid w:val="00CD3218"/>
    <w:rsid w:val="00CD7DCA"/>
    <w:rsid w:val="00CE27A2"/>
    <w:rsid w:val="00CE2828"/>
    <w:rsid w:val="00D04BDE"/>
    <w:rsid w:val="00D122C1"/>
    <w:rsid w:val="00D15FD7"/>
    <w:rsid w:val="00D43CC0"/>
    <w:rsid w:val="00D44704"/>
    <w:rsid w:val="00D533D8"/>
    <w:rsid w:val="00D5585A"/>
    <w:rsid w:val="00D64B1C"/>
    <w:rsid w:val="00D650B8"/>
    <w:rsid w:val="00D65295"/>
    <w:rsid w:val="00D73DA5"/>
    <w:rsid w:val="00D757B3"/>
    <w:rsid w:val="00DA64FE"/>
    <w:rsid w:val="00DB39BE"/>
    <w:rsid w:val="00DC5BF3"/>
    <w:rsid w:val="00DC6180"/>
    <w:rsid w:val="00DE700B"/>
    <w:rsid w:val="00E17DA8"/>
    <w:rsid w:val="00E224AF"/>
    <w:rsid w:val="00E26709"/>
    <w:rsid w:val="00E35B94"/>
    <w:rsid w:val="00E81E3A"/>
    <w:rsid w:val="00E87A1A"/>
    <w:rsid w:val="00EA3869"/>
    <w:rsid w:val="00EA77AC"/>
    <w:rsid w:val="00EB5A42"/>
    <w:rsid w:val="00EC0157"/>
    <w:rsid w:val="00EC1994"/>
    <w:rsid w:val="00ED0469"/>
    <w:rsid w:val="00F02527"/>
    <w:rsid w:val="00F15BB5"/>
    <w:rsid w:val="00F16385"/>
    <w:rsid w:val="00F34B3B"/>
    <w:rsid w:val="00F403B3"/>
    <w:rsid w:val="00F411EB"/>
    <w:rsid w:val="00F443D8"/>
    <w:rsid w:val="00F47182"/>
    <w:rsid w:val="00F65C19"/>
    <w:rsid w:val="00F93FE4"/>
    <w:rsid w:val="00F94407"/>
    <w:rsid w:val="00FA0174"/>
    <w:rsid w:val="00FD7C40"/>
    <w:rsid w:val="00FE2455"/>
    <w:rsid w:val="00FF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F52586"/>
  <w15:docId w15:val="{510FE93C-CEB6-4671-B750-A2093F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56C2"/>
    <w:rPr>
      <w:sz w:val="16"/>
      <w:szCs w:val="16"/>
    </w:rPr>
  </w:style>
  <w:style w:type="paragraph" w:styleId="CommentText">
    <w:name w:val="annotation text"/>
    <w:basedOn w:val="Normal"/>
    <w:link w:val="CommentTextChar"/>
    <w:uiPriority w:val="99"/>
    <w:semiHidden/>
    <w:unhideWhenUsed/>
    <w:rsid w:val="00B156C2"/>
    <w:pPr>
      <w:spacing w:line="240" w:lineRule="auto"/>
    </w:pPr>
    <w:rPr>
      <w:sz w:val="20"/>
      <w:szCs w:val="20"/>
    </w:rPr>
  </w:style>
  <w:style w:type="character" w:customStyle="1" w:styleId="CommentTextChar">
    <w:name w:val="Comment Text Char"/>
    <w:basedOn w:val="DefaultParagraphFont"/>
    <w:link w:val="CommentText"/>
    <w:uiPriority w:val="99"/>
    <w:semiHidden/>
    <w:rsid w:val="00B156C2"/>
    <w:rPr>
      <w:sz w:val="20"/>
      <w:szCs w:val="20"/>
    </w:rPr>
  </w:style>
  <w:style w:type="paragraph" w:styleId="CommentSubject">
    <w:name w:val="annotation subject"/>
    <w:basedOn w:val="CommentText"/>
    <w:next w:val="CommentText"/>
    <w:link w:val="CommentSubjectChar"/>
    <w:uiPriority w:val="99"/>
    <w:semiHidden/>
    <w:unhideWhenUsed/>
    <w:rsid w:val="00B156C2"/>
    <w:rPr>
      <w:b/>
      <w:bCs/>
    </w:rPr>
  </w:style>
  <w:style w:type="character" w:customStyle="1" w:styleId="CommentSubjectChar">
    <w:name w:val="Comment Subject Char"/>
    <w:basedOn w:val="CommentTextChar"/>
    <w:link w:val="CommentSubject"/>
    <w:uiPriority w:val="99"/>
    <w:semiHidden/>
    <w:rsid w:val="00B156C2"/>
    <w:rPr>
      <w:b/>
      <w:bCs/>
      <w:sz w:val="20"/>
      <w:szCs w:val="20"/>
    </w:rPr>
  </w:style>
  <w:style w:type="paragraph" w:styleId="BalloonText">
    <w:name w:val="Balloon Text"/>
    <w:basedOn w:val="Normal"/>
    <w:link w:val="BalloonTextChar"/>
    <w:uiPriority w:val="99"/>
    <w:semiHidden/>
    <w:unhideWhenUsed/>
    <w:rsid w:val="00B15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C2"/>
    <w:rPr>
      <w:rFonts w:ascii="Tahoma" w:hAnsi="Tahoma" w:cs="Tahoma"/>
      <w:sz w:val="16"/>
      <w:szCs w:val="16"/>
    </w:rPr>
  </w:style>
  <w:style w:type="paragraph" w:styleId="Footer">
    <w:name w:val="footer"/>
    <w:basedOn w:val="Normal"/>
    <w:link w:val="FooterChar"/>
    <w:uiPriority w:val="99"/>
    <w:unhideWhenUsed/>
    <w:rsid w:val="008258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5897"/>
  </w:style>
  <w:style w:type="character" w:styleId="PageNumber">
    <w:name w:val="page number"/>
    <w:basedOn w:val="DefaultParagraphFont"/>
    <w:uiPriority w:val="99"/>
    <w:semiHidden/>
    <w:unhideWhenUsed/>
    <w:rsid w:val="00825897"/>
  </w:style>
  <w:style w:type="paragraph" w:styleId="Header">
    <w:name w:val="header"/>
    <w:basedOn w:val="Normal"/>
    <w:link w:val="HeaderChar"/>
    <w:uiPriority w:val="99"/>
    <w:unhideWhenUsed/>
    <w:rsid w:val="008258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5897"/>
  </w:style>
  <w:style w:type="character" w:styleId="Hyperlink">
    <w:name w:val="Hyperlink"/>
    <w:basedOn w:val="DefaultParagraphFont"/>
    <w:uiPriority w:val="99"/>
    <w:unhideWhenUsed/>
    <w:rsid w:val="00BE14DF"/>
    <w:rPr>
      <w:color w:val="0000FF" w:themeColor="hyperlink"/>
      <w:u w:val="single"/>
    </w:rPr>
  </w:style>
  <w:style w:type="character" w:styleId="FollowedHyperlink">
    <w:name w:val="FollowedHyperlink"/>
    <w:basedOn w:val="DefaultParagraphFont"/>
    <w:uiPriority w:val="99"/>
    <w:semiHidden/>
    <w:unhideWhenUsed/>
    <w:rsid w:val="002F0A36"/>
    <w:rPr>
      <w:color w:val="800080" w:themeColor="followedHyperlink"/>
      <w:u w:val="single"/>
    </w:rPr>
  </w:style>
  <w:style w:type="character" w:styleId="UnresolvedMention">
    <w:name w:val="Unresolved Mention"/>
    <w:basedOn w:val="DefaultParagraphFont"/>
    <w:uiPriority w:val="99"/>
    <w:semiHidden/>
    <w:unhideWhenUsed/>
    <w:rsid w:val="009508FE"/>
    <w:rPr>
      <w:color w:val="605E5C"/>
      <w:shd w:val="clear" w:color="auto" w:fill="E1DFDD"/>
    </w:rPr>
  </w:style>
  <w:style w:type="paragraph" w:styleId="ListParagraph">
    <w:name w:val="List Paragraph"/>
    <w:basedOn w:val="Normal"/>
    <w:uiPriority w:val="34"/>
    <w:qFormat/>
    <w:rsid w:val="000B4106"/>
    <w:pPr>
      <w:ind w:left="720"/>
      <w:contextualSpacing/>
    </w:pPr>
  </w:style>
  <w:style w:type="character" w:styleId="Strong">
    <w:name w:val="Strong"/>
    <w:basedOn w:val="DefaultParagraphFont"/>
    <w:uiPriority w:val="22"/>
    <w:qFormat/>
    <w:rsid w:val="000B4106"/>
    <w:rPr>
      <w:b/>
      <w:bCs/>
    </w:rPr>
  </w:style>
  <w:style w:type="paragraph" w:styleId="Revision">
    <w:name w:val="Revision"/>
    <w:hidden/>
    <w:uiPriority w:val="99"/>
    <w:semiHidden/>
    <w:rsid w:val="00064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51252">
      <w:bodyDiv w:val="1"/>
      <w:marLeft w:val="0"/>
      <w:marRight w:val="0"/>
      <w:marTop w:val="0"/>
      <w:marBottom w:val="0"/>
      <w:divBdr>
        <w:top w:val="none" w:sz="0" w:space="0" w:color="auto"/>
        <w:left w:val="none" w:sz="0" w:space="0" w:color="auto"/>
        <w:bottom w:val="none" w:sz="0" w:space="0" w:color="auto"/>
        <w:right w:val="none" w:sz="0" w:space="0" w:color="auto"/>
      </w:divBdr>
      <w:divsChild>
        <w:div w:id="1956591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244447">
              <w:marLeft w:val="0"/>
              <w:marRight w:val="0"/>
              <w:marTop w:val="0"/>
              <w:marBottom w:val="0"/>
              <w:divBdr>
                <w:top w:val="none" w:sz="0" w:space="0" w:color="auto"/>
                <w:left w:val="none" w:sz="0" w:space="0" w:color="auto"/>
                <w:bottom w:val="none" w:sz="0" w:space="0" w:color="auto"/>
                <w:right w:val="none" w:sz="0" w:space="0" w:color="auto"/>
              </w:divBdr>
              <w:divsChild>
                <w:div w:id="12859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7748">
      <w:bodyDiv w:val="1"/>
      <w:marLeft w:val="0"/>
      <w:marRight w:val="0"/>
      <w:marTop w:val="0"/>
      <w:marBottom w:val="0"/>
      <w:divBdr>
        <w:top w:val="none" w:sz="0" w:space="0" w:color="auto"/>
        <w:left w:val="none" w:sz="0" w:space="0" w:color="auto"/>
        <w:bottom w:val="none" w:sz="0" w:space="0" w:color="auto"/>
        <w:right w:val="none" w:sz="0" w:space="0" w:color="auto"/>
      </w:divBdr>
      <w:divsChild>
        <w:div w:id="1454447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758">
              <w:marLeft w:val="0"/>
              <w:marRight w:val="0"/>
              <w:marTop w:val="0"/>
              <w:marBottom w:val="0"/>
              <w:divBdr>
                <w:top w:val="none" w:sz="0" w:space="0" w:color="auto"/>
                <w:left w:val="none" w:sz="0" w:space="0" w:color="auto"/>
                <w:bottom w:val="none" w:sz="0" w:space="0" w:color="auto"/>
                <w:right w:val="none" w:sz="0" w:space="0" w:color="auto"/>
              </w:divBdr>
              <w:divsChild>
                <w:div w:id="1099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7233">
      <w:bodyDiv w:val="1"/>
      <w:marLeft w:val="0"/>
      <w:marRight w:val="0"/>
      <w:marTop w:val="0"/>
      <w:marBottom w:val="0"/>
      <w:divBdr>
        <w:top w:val="none" w:sz="0" w:space="0" w:color="auto"/>
        <w:left w:val="none" w:sz="0" w:space="0" w:color="auto"/>
        <w:bottom w:val="none" w:sz="0" w:space="0" w:color="auto"/>
        <w:right w:val="none" w:sz="0" w:space="0" w:color="auto"/>
      </w:divBdr>
      <w:divsChild>
        <w:div w:id="135923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64680">
              <w:marLeft w:val="0"/>
              <w:marRight w:val="0"/>
              <w:marTop w:val="0"/>
              <w:marBottom w:val="0"/>
              <w:divBdr>
                <w:top w:val="none" w:sz="0" w:space="0" w:color="auto"/>
                <w:left w:val="none" w:sz="0" w:space="0" w:color="auto"/>
                <w:bottom w:val="none" w:sz="0" w:space="0" w:color="auto"/>
                <w:right w:val="none" w:sz="0" w:space="0" w:color="auto"/>
              </w:divBdr>
              <w:divsChild>
                <w:div w:id="8183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William Tanoury</dc:creator>
  <cp:lastModifiedBy>Val Delaney | ADMEI</cp:lastModifiedBy>
  <cp:revision>3</cp:revision>
  <cp:lastPrinted>2015-04-30T16:45:00Z</cp:lastPrinted>
  <dcterms:created xsi:type="dcterms:W3CDTF">2024-04-05T19:59:00Z</dcterms:created>
  <dcterms:modified xsi:type="dcterms:W3CDTF">2024-04-05T20:00:00Z</dcterms:modified>
</cp:coreProperties>
</file>