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05AC" w14:textId="77777777" w:rsidR="00B9075D" w:rsidRDefault="00605B6B" w:rsidP="00605B6B">
      <w:pPr>
        <w:jc w:val="center"/>
      </w:pPr>
      <w:r>
        <w:rPr>
          <w:b/>
        </w:rPr>
        <w:t>ACEC-IL Risk Management Committee Meeting</w:t>
      </w:r>
    </w:p>
    <w:p w14:paraId="6E8580E8" w14:textId="4640FBDD" w:rsidR="00605B6B" w:rsidRDefault="006231D0" w:rsidP="00030880">
      <w:pPr>
        <w:spacing w:line="240" w:lineRule="auto"/>
        <w:jc w:val="center"/>
      </w:pPr>
      <w:r>
        <w:t>February 12</w:t>
      </w:r>
      <w:r w:rsidR="00ED6471">
        <w:t xml:space="preserve">, </w:t>
      </w:r>
      <w:r w:rsidR="00BF3598">
        <w:t>20</w:t>
      </w:r>
      <w:r w:rsidR="005F3E83">
        <w:t>2</w:t>
      </w:r>
      <w:r>
        <w:t>6</w:t>
      </w:r>
    </w:p>
    <w:p w14:paraId="6667D773" w14:textId="291D428F" w:rsidR="004B3065" w:rsidRDefault="00BC7E13" w:rsidP="00030880">
      <w:pPr>
        <w:spacing w:line="240" w:lineRule="auto"/>
        <w:jc w:val="center"/>
      </w:pPr>
      <w:r>
        <w:t>10:00</w:t>
      </w:r>
      <w:r w:rsidR="00F85CC7">
        <w:t xml:space="preserve"> </w:t>
      </w:r>
      <w:r>
        <w:t>a</w:t>
      </w:r>
      <w:r w:rsidR="00BF3598">
        <w:t xml:space="preserve">.m. </w:t>
      </w:r>
      <w:r w:rsidR="00605B6B">
        <w:t xml:space="preserve">– </w:t>
      </w:r>
      <w:r>
        <w:t>11:00</w:t>
      </w:r>
      <w:r w:rsidR="00605B6B">
        <w:t xml:space="preserve"> </w:t>
      </w:r>
      <w:r>
        <w:t>a</w:t>
      </w:r>
      <w:r w:rsidR="00605B6B">
        <w:t>.m.</w:t>
      </w:r>
    </w:p>
    <w:p w14:paraId="7EE2A00D" w14:textId="77777777" w:rsidR="006D64ED" w:rsidRDefault="006D64ED" w:rsidP="00605B6B">
      <w:pPr>
        <w:jc w:val="center"/>
      </w:pPr>
      <w:r>
        <w:t>Via ZOOM</w:t>
      </w:r>
    </w:p>
    <w:p w14:paraId="66FA08FD" w14:textId="237C1393" w:rsidR="00605B6B" w:rsidRDefault="001C5327" w:rsidP="00605B6B">
      <w:pPr>
        <w:jc w:val="center"/>
      </w:pPr>
      <w:r>
        <w:t>Meeting Minutes</w:t>
      </w:r>
    </w:p>
    <w:p w14:paraId="7E409F5E" w14:textId="77777777" w:rsidR="00303841" w:rsidRDefault="00303841" w:rsidP="00303841">
      <w:pPr>
        <w:pStyle w:val="ListParagraph"/>
        <w:numPr>
          <w:ilvl w:val="0"/>
          <w:numId w:val="4"/>
        </w:numPr>
        <w:spacing w:line="360" w:lineRule="auto"/>
      </w:pPr>
      <w:r w:rsidRPr="005871D5">
        <w:t>Introductions – Additions to Agenda</w:t>
      </w:r>
    </w:p>
    <w:p w14:paraId="102EE771" w14:textId="77777777" w:rsidR="00303841" w:rsidRPr="00237B4E" w:rsidRDefault="00303841" w:rsidP="00303841">
      <w:pPr>
        <w:pStyle w:val="ListParagraph"/>
        <w:numPr>
          <w:ilvl w:val="0"/>
          <w:numId w:val="4"/>
        </w:numPr>
        <w:spacing w:line="360" w:lineRule="auto"/>
      </w:pPr>
      <w:r w:rsidRPr="005871D5">
        <w:t>ACEC – Illinois Update Summary</w:t>
      </w:r>
      <w:r>
        <w:t xml:space="preserve"> </w:t>
      </w:r>
    </w:p>
    <w:p w14:paraId="72718B20" w14:textId="77777777" w:rsidR="00303841" w:rsidRDefault="00303841" w:rsidP="00303841">
      <w:pPr>
        <w:pStyle w:val="ListParagraph"/>
        <w:numPr>
          <w:ilvl w:val="0"/>
          <w:numId w:val="4"/>
        </w:numPr>
        <w:spacing w:line="360" w:lineRule="auto"/>
      </w:pPr>
      <w:r>
        <w:t>In Progress Initiatives</w:t>
      </w:r>
    </w:p>
    <w:p w14:paraId="1CBCBC14" w14:textId="0444B1D5" w:rsidR="0087222F" w:rsidRPr="002E3E6E" w:rsidRDefault="00303841" w:rsidP="0087222F">
      <w:pPr>
        <w:pStyle w:val="ListParagraph"/>
        <w:numPr>
          <w:ilvl w:val="1"/>
          <w:numId w:val="4"/>
        </w:numPr>
        <w:spacing w:line="360" w:lineRule="auto"/>
        <w:rPr>
          <w:color w:val="FF0000"/>
        </w:rPr>
      </w:pPr>
      <w:r w:rsidRPr="002E3E6E">
        <w:rPr>
          <w:b/>
          <w:bCs/>
          <w:color w:val="FF0000"/>
        </w:rPr>
        <w:t xml:space="preserve">Cook County </w:t>
      </w:r>
      <w:r w:rsidR="00827F42" w:rsidRPr="002E3E6E">
        <w:rPr>
          <w:b/>
          <w:bCs/>
          <w:color w:val="FF0000"/>
        </w:rPr>
        <w:t>Indemnification Language</w:t>
      </w:r>
      <w:r w:rsidRPr="002E3E6E">
        <w:rPr>
          <w:color w:val="FF0000"/>
        </w:rPr>
        <w:t xml:space="preserve"> </w:t>
      </w:r>
      <w:r w:rsidR="00186C52" w:rsidRPr="002E3E6E">
        <w:rPr>
          <w:color w:val="FF0000"/>
        </w:rPr>
        <w:t xml:space="preserve">– </w:t>
      </w:r>
      <w:r w:rsidR="0087222F" w:rsidRPr="002E3E6E">
        <w:rPr>
          <w:color w:val="FF0000"/>
        </w:rPr>
        <w:t>After more than 18 months of sustained effort, ACEC IL has secured significant revisions to Cook County’s contractual indemnification language. These changes better reflect the risk realities faced by the consulting engineering community and represent a major step forward in narrowing the scope of County’s previous broad liability language.</w:t>
      </w:r>
    </w:p>
    <w:p w14:paraId="63CC1309" w14:textId="4B635455" w:rsidR="00303841" w:rsidRPr="002E3E6E" w:rsidRDefault="005155C4" w:rsidP="005155C4">
      <w:pPr>
        <w:pStyle w:val="ListParagraph"/>
        <w:numPr>
          <w:ilvl w:val="1"/>
          <w:numId w:val="4"/>
        </w:numPr>
        <w:spacing w:line="360" w:lineRule="auto"/>
        <w:rPr>
          <w:color w:val="FF0000"/>
        </w:rPr>
      </w:pPr>
      <w:r w:rsidRPr="002E3E6E">
        <w:rPr>
          <w:b/>
          <w:bCs/>
          <w:color w:val="FF0000"/>
        </w:rPr>
        <w:t>Emergency Situations</w:t>
      </w:r>
      <w:r w:rsidRPr="002E3E6E">
        <w:rPr>
          <w:color w:val="FF0000"/>
        </w:rPr>
        <w:t xml:space="preserve"> – Kevin shared about legislation for greater immunity relating to emergency situations. </w:t>
      </w:r>
    </w:p>
    <w:p w14:paraId="710F3E25" w14:textId="6A6DF449" w:rsidR="005155C4" w:rsidRPr="002E3E6E" w:rsidRDefault="00206D2C" w:rsidP="005155C4">
      <w:pPr>
        <w:pStyle w:val="ListParagraph"/>
        <w:numPr>
          <w:ilvl w:val="1"/>
          <w:numId w:val="4"/>
        </w:numPr>
        <w:spacing w:line="360" w:lineRule="auto"/>
        <w:rPr>
          <w:color w:val="FF0000"/>
        </w:rPr>
      </w:pPr>
      <w:r w:rsidRPr="002E3E6E">
        <w:rPr>
          <w:b/>
          <w:bCs/>
          <w:color w:val="FF0000"/>
        </w:rPr>
        <w:t>NEPA Assignment /Sover</w:t>
      </w:r>
      <w:r w:rsidR="004C13BF">
        <w:rPr>
          <w:b/>
          <w:bCs/>
          <w:color w:val="FF0000"/>
        </w:rPr>
        <w:t>eig</w:t>
      </w:r>
      <w:r w:rsidRPr="002E3E6E">
        <w:rPr>
          <w:b/>
          <w:bCs/>
          <w:color w:val="FF0000"/>
        </w:rPr>
        <w:t>n Immunity</w:t>
      </w:r>
    </w:p>
    <w:p w14:paraId="3E410802" w14:textId="77777777" w:rsidR="00303841" w:rsidRDefault="00303841" w:rsidP="00303841">
      <w:pPr>
        <w:pStyle w:val="ListParagraph"/>
        <w:numPr>
          <w:ilvl w:val="1"/>
          <w:numId w:val="4"/>
        </w:numPr>
        <w:spacing w:line="360" w:lineRule="auto"/>
      </w:pPr>
      <w:r w:rsidRPr="005871D5">
        <w:t>ACEC National Risk Management Committee Update</w:t>
      </w:r>
    </w:p>
    <w:p w14:paraId="5FDCFB28" w14:textId="77777777" w:rsidR="00303841" w:rsidRPr="003038EE" w:rsidRDefault="00303841" w:rsidP="00303841">
      <w:pPr>
        <w:pStyle w:val="ListParagraph"/>
        <w:numPr>
          <w:ilvl w:val="2"/>
          <w:numId w:val="4"/>
        </w:numPr>
        <w:spacing w:line="360" w:lineRule="auto"/>
      </w:pPr>
      <w:r w:rsidRPr="003038EE">
        <w:t xml:space="preserve">National Conference </w:t>
      </w:r>
      <w:r>
        <w:t>| May 3-6, 2026 in DC</w:t>
      </w:r>
    </w:p>
    <w:p w14:paraId="3B9C23D8" w14:textId="77777777" w:rsidR="00303841" w:rsidRPr="00131CC3" w:rsidRDefault="00303841" w:rsidP="00303841">
      <w:pPr>
        <w:pStyle w:val="ListParagraph"/>
        <w:numPr>
          <w:ilvl w:val="2"/>
          <w:numId w:val="4"/>
        </w:numPr>
        <w:spacing w:line="360" w:lineRule="auto"/>
        <w:rPr>
          <w:color w:val="000000" w:themeColor="text1"/>
        </w:rPr>
      </w:pPr>
      <w:r w:rsidRPr="00131CC3">
        <w:rPr>
          <w:color w:val="000000" w:themeColor="text1"/>
        </w:rPr>
        <w:t>Next Meeting: 1:30 – 2:30 Sunday May 3</w:t>
      </w:r>
      <w:r w:rsidRPr="00131CC3">
        <w:rPr>
          <w:color w:val="000000" w:themeColor="text1"/>
          <w:vertAlign w:val="superscript"/>
        </w:rPr>
        <w:t>rd</w:t>
      </w:r>
    </w:p>
    <w:p w14:paraId="14F89356" w14:textId="77777777" w:rsidR="00B92237" w:rsidRPr="00B92237" w:rsidRDefault="00303841" w:rsidP="00B92237">
      <w:pPr>
        <w:pStyle w:val="ListParagraph"/>
        <w:numPr>
          <w:ilvl w:val="2"/>
          <w:numId w:val="4"/>
        </w:numPr>
        <w:spacing w:line="360" w:lineRule="auto"/>
      </w:pPr>
      <w:r w:rsidRPr="00B92237">
        <w:rPr>
          <w:color w:val="000000" w:themeColor="text1"/>
        </w:rPr>
        <w:t xml:space="preserve">National Subcommittee: Liaison for State RMC </w:t>
      </w:r>
      <w:r w:rsidR="00F81777" w:rsidRPr="00B92237">
        <w:rPr>
          <w:color w:val="0070C0"/>
        </w:rPr>
        <w:t xml:space="preserve">– </w:t>
      </w:r>
      <w:r w:rsidR="00B92237" w:rsidRPr="00B92237">
        <w:rPr>
          <w:color w:val="0070C0"/>
        </w:rPr>
        <w:t>Carl Munkel joined the call to discuss an ACEC initiative aimed at strengthening Risk Management Committee engagement across additional states and enhancing alignment with the ACEC National Risk Management Committee.</w:t>
      </w:r>
    </w:p>
    <w:p w14:paraId="602DA7EA" w14:textId="10BBF026" w:rsidR="00303841" w:rsidRPr="00DA5DF2" w:rsidRDefault="00303841" w:rsidP="007C2079">
      <w:pPr>
        <w:pStyle w:val="ListParagraph"/>
        <w:numPr>
          <w:ilvl w:val="0"/>
          <w:numId w:val="4"/>
        </w:numPr>
        <w:spacing w:line="360" w:lineRule="auto"/>
      </w:pPr>
      <w:r w:rsidRPr="00DA5DF2">
        <w:t>Trends and Topics (open discussion)</w:t>
      </w:r>
    </w:p>
    <w:p w14:paraId="528FA595" w14:textId="3BD1E480" w:rsidR="00303841" w:rsidRPr="00DA5DF2" w:rsidRDefault="00303841" w:rsidP="007C2079">
      <w:pPr>
        <w:pStyle w:val="ListParagraph"/>
        <w:numPr>
          <w:ilvl w:val="1"/>
          <w:numId w:val="4"/>
        </w:numPr>
        <w:spacing w:line="360" w:lineRule="auto"/>
      </w:pPr>
      <w:r w:rsidRPr="00DA5DF2">
        <w:t xml:space="preserve">AI – industry discussion </w:t>
      </w:r>
      <w:r w:rsidR="008D1256">
        <w:t xml:space="preserve">– </w:t>
      </w:r>
      <w:r w:rsidR="006841E4" w:rsidRPr="006841E4">
        <w:rPr>
          <w:color w:val="0070C0"/>
        </w:rPr>
        <w:t>Mark Blankenship provided a brief update and shared information about an AI Ethics educational course he is developing in collaboration with ACEC National.</w:t>
      </w:r>
    </w:p>
    <w:p w14:paraId="6BD01C58" w14:textId="77777777" w:rsidR="00303841" w:rsidRPr="00131CC3" w:rsidRDefault="00303841" w:rsidP="00303841">
      <w:pPr>
        <w:pStyle w:val="ListParagraph"/>
        <w:numPr>
          <w:ilvl w:val="1"/>
          <w:numId w:val="4"/>
        </w:numPr>
        <w:spacing w:line="360" w:lineRule="auto"/>
        <w:rPr>
          <w:color w:val="000000" w:themeColor="text1"/>
        </w:rPr>
      </w:pPr>
      <w:r w:rsidRPr="00131CC3">
        <w:rPr>
          <w:color w:val="000000" w:themeColor="text1"/>
        </w:rPr>
        <w:t xml:space="preserve">Risk Management Concerns </w:t>
      </w:r>
    </w:p>
    <w:p w14:paraId="29DC464B" w14:textId="77777777" w:rsidR="00303841" w:rsidRDefault="00303841" w:rsidP="00303841">
      <w:pPr>
        <w:pStyle w:val="ListParagraph"/>
        <w:numPr>
          <w:ilvl w:val="2"/>
          <w:numId w:val="4"/>
        </w:numPr>
        <w:spacing w:line="360" w:lineRule="auto"/>
        <w:rPr>
          <w:color w:val="000000" w:themeColor="text1"/>
        </w:rPr>
      </w:pPr>
      <w:r w:rsidRPr="006E6E3D">
        <w:rPr>
          <w:color w:val="000000" w:themeColor="text1"/>
        </w:rPr>
        <w:t>Be aware and beware</w:t>
      </w:r>
    </w:p>
    <w:p w14:paraId="1A232A41" w14:textId="4E207977" w:rsidR="00CF467C" w:rsidRPr="00DF177E" w:rsidRDefault="005600B2" w:rsidP="00CF467C">
      <w:pPr>
        <w:pStyle w:val="ListParagraph"/>
        <w:numPr>
          <w:ilvl w:val="3"/>
          <w:numId w:val="4"/>
        </w:numPr>
        <w:spacing w:line="360" w:lineRule="auto"/>
        <w:rPr>
          <w:color w:val="0070C0"/>
        </w:rPr>
      </w:pPr>
      <w:r w:rsidRPr="00DF177E">
        <w:rPr>
          <w:color w:val="0070C0"/>
        </w:rPr>
        <w:t>California Invasion of Privacy Act impacting website</w:t>
      </w:r>
      <w:r w:rsidR="006841E4">
        <w:rPr>
          <w:color w:val="0070C0"/>
        </w:rPr>
        <w:t xml:space="preserve"> images/data.</w:t>
      </w:r>
    </w:p>
    <w:p w14:paraId="2AACAC8A" w14:textId="4EE0BC1F" w:rsidR="005600B2" w:rsidRPr="00DF177E" w:rsidRDefault="005600B2" w:rsidP="00CF467C">
      <w:pPr>
        <w:pStyle w:val="ListParagraph"/>
        <w:numPr>
          <w:ilvl w:val="3"/>
          <w:numId w:val="4"/>
        </w:numPr>
        <w:spacing w:line="360" w:lineRule="auto"/>
        <w:rPr>
          <w:color w:val="0070C0"/>
        </w:rPr>
      </w:pPr>
      <w:r w:rsidRPr="00DF177E">
        <w:rPr>
          <w:color w:val="0070C0"/>
        </w:rPr>
        <w:t xml:space="preserve">EJCDC has revised their Design-Build </w:t>
      </w:r>
      <w:r w:rsidR="00523400" w:rsidRPr="00DF177E">
        <w:rPr>
          <w:color w:val="0070C0"/>
        </w:rPr>
        <w:t>Agreements and C-Series</w:t>
      </w:r>
      <w:r w:rsidR="006841E4">
        <w:rPr>
          <w:color w:val="0070C0"/>
        </w:rPr>
        <w:t>.</w:t>
      </w:r>
    </w:p>
    <w:p w14:paraId="010812BB" w14:textId="77777777" w:rsidR="006A520A" w:rsidRPr="006A520A" w:rsidRDefault="006A520A" w:rsidP="006A520A">
      <w:pPr>
        <w:pStyle w:val="ListParagraph"/>
        <w:numPr>
          <w:ilvl w:val="3"/>
          <w:numId w:val="4"/>
        </w:numPr>
        <w:spacing w:line="360" w:lineRule="auto"/>
        <w:rPr>
          <w:color w:val="0070C0"/>
          <w:highlight w:val="yellow"/>
        </w:rPr>
      </w:pPr>
      <w:r w:rsidRPr="006A520A">
        <w:rPr>
          <w:color w:val="0070C0"/>
        </w:rPr>
        <w:lastRenderedPageBreak/>
        <w:t>Firms should engage in early discussions regarding insurance implications whenever there is potential acquisition or joint venture activity.</w:t>
      </w:r>
      <w:r w:rsidR="00303841" w:rsidRPr="00251023">
        <w:rPr>
          <w:color w:val="000000" w:themeColor="text1"/>
        </w:rPr>
        <w:t xml:space="preserve"> </w:t>
      </w:r>
    </w:p>
    <w:p w14:paraId="02817B80" w14:textId="3D5EF269" w:rsidR="00303841" w:rsidRPr="007C3C6B" w:rsidRDefault="00303841" w:rsidP="006A520A">
      <w:pPr>
        <w:pStyle w:val="ListParagraph"/>
        <w:numPr>
          <w:ilvl w:val="2"/>
          <w:numId w:val="4"/>
        </w:numPr>
        <w:spacing w:line="360" w:lineRule="auto"/>
        <w:rPr>
          <w:color w:val="0070C0"/>
          <w:highlight w:val="yellow"/>
        </w:rPr>
      </w:pPr>
      <w:r w:rsidRPr="00251023">
        <w:rPr>
          <w:color w:val="000000" w:themeColor="text1"/>
        </w:rPr>
        <w:t>IPD Refresh</w:t>
      </w:r>
      <w:r w:rsidR="00DF177E">
        <w:rPr>
          <w:color w:val="000000" w:themeColor="text1"/>
        </w:rPr>
        <w:t xml:space="preserve"> – </w:t>
      </w:r>
      <w:r w:rsidR="004C13BF">
        <w:rPr>
          <w:color w:val="000000" w:themeColor="text1"/>
        </w:rPr>
        <w:t xml:space="preserve">Panel Discussion highlighted that contracts (and team responsibilities) can create unexpected awareness pitfalls; working with a trusted partner firm who has experience in IPD and taking time to review contracts beforehand is heightened importance. </w:t>
      </w:r>
    </w:p>
    <w:p w14:paraId="3C6B7F38" w14:textId="77777777" w:rsidR="00303841" w:rsidRPr="00633D05" w:rsidRDefault="00303841" w:rsidP="00303841">
      <w:pPr>
        <w:pStyle w:val="ListParagraph"/>
        <w:numPr>
          <w:ilvl w:val="1"/>
          <w:numId w:val="4"/>
        </w:numPr>
        <w:spacing w:line="360" w:lineRule="auto"/>
      </w:pPr>
      <w:r w:rsidRPr="00633D05">
        <w:t>Claims trends</w:t>
      </w:r>
    </w:p>
    <w:p w14:paraId="02FC5726" w14:textId="4397885A" w:rsidR="00303841" w:rsidRPr="007C3C6B" w:rsidRDefault="00303841" w:rsidP="00303841">
      <w:pPr>
        <w:pStyle w:val="ListParagraph"/>
        <w:numPr>
          <w:ilvl w:val="2"/>
          <w:numId w:val="4"/>
        </w:numPr>
        <w:spacing w:line="360" w:lineRule="auto"/>
        <w:rPr>
          <w:color w:val="0070C0"/>
        </w:rPr>
      </w:pPr>
      <w:r>
        <w:t>BDP Claims Benchmark Data (Berkley)</w:t>
      </w:r>
      <w:r w:rsidRPr="00E85DAA">
        <w:t xml:space="preserve"> –</w:t>
      </w:r>
      <w:r>
        <w:t xml:space="preserve"> </w:t>
      </w:r>
      <w:r w:rsidRPr="007C3C6B">
        <w:rPr>
          <w:color w:val="0070C0"/>
        </w:rPr>
        <w:t xml:space="preserve">Andy Mendelson </w:t>
      </w:r>
      <w:r w:rsidR="00C37924" w:rsidRPr="007C3C6B">
        <w:rPr>
          <w:color w:val="0070C0"/>
        </w:rPr>
        <w:t>shared in depth information about the claims trends Berkley has experience in 2025. Key takeaways include</w:t>
      </w:r>
      <w:r w:rsidR="00F35FAB" w:rsidRPr="007C3C6B">
        <w:rPr>
          <w:color w:val="0070C0"/>
        </w:rPr>
        <w:t>:</w:t>
      </w:r>
    </w:p>
    <w:p w14:paraId="22302F67" w14:textId="4E24B5E4" w:rsidR="00F35FAB" w:rsidRPr="007C3C6B" w:rsidRDefault="00F35FAB" w:rsidP="00F35FAB">
      <w:pPr>
        <w:pStyle w:val="ListParagraph"/>
        <w:numPr>
          <w:ilvl w:val="3"/>
          <w:numId w:val="4"/>
        </w:numPr>
        <w:spacing w:line="360" w:lineRule="auto"/>
        <w:rPr>
          <w:color w:val="0070C0"/>
        </w:rPr>
      </w:pPr>
      <w:r w:rsidRPr="007C3C6B">
        <w:rPr>
          <w:b/>
          <w:bCs/>
          <w:color w:val="0070C0"/>
        </w:rPr>
        <w:t>Highest</w:t>
      </w:r>
      <w:r w:rsidRPr="007C3C6B">
        <w:rPr>
          <w:rFonts w:ascii="Cambria Math" w:hAnsi="Cambria Math" w:cs="Cambria Math"/>
          <w:b/>
          <w:bCs/>
          <w:color w:val="0070C0"/>
        </w:rPr>
        <w:t>‑</w:t>
      </w:r>
      <w:r w:rsidRPr="007C3C6B">
        <w:rPr>
          <w:b/>
          <w:bCs/>
          <w:color w:val="0070C0"/>
        </w:rPr>
        <w:t>risk disciplines</w:t>
      </w:r>
      <w:r w:rsidRPr="007C3C6B">
        <w:rPr>
          <w:color w:val="0070C0"/>
        </w:rPr>
        <w:t xml:space="preserve">: Structural (highest loss cost), plus Mechanical and Geotechnical. </w:t>
      </w:r>
    </w:p>
    <w:p w14:paraId="2D974D46" w14:textId="49288248" w:rsidR="00F35FAB" w:rsidRPr="007C3C6B" w:rsidRDefault="00F35FAB" w:rsidP="00F35FAB">
      <w:pPr>
        <w:pStyle w:val="ListParagraph"/>
        <w:numPr>
          <w:ilvl w:val="3"/>
          <w:numId w:val="4"/>
        </w:numPr>
        <w:spacing w:line="360" w:lineRule="auto"/>
        <w:rPr>
          <w:color w:val="0070C0"/>
        </w:rPr>
      </w:pPr>
      <w:r w:rsidRPr="007C3C6B">
        <w:rPr>
          <w:b/>
          <w:bCs/>
          <w:color w:val="0070C0"/>
        </w:rPr>
        <w:t>Riskiest client type:</w:t>
      </w:r>
      <w:r w:rsidRPr="007C3C6B">
        <w:rPr>
          <w:color w:val="0070C0"/>
        </w:rPr>
        <w:t xml:space="preserve"> Contractors (especially design</w:t>
      </w:r>
      <w:r w:rsidRPr="007C3C6B">
        <w:rPr>
          <w:rFonts w:ascii="Cambria Math" w:hAnsi="Cambria Math" w:cs="Cambria Math"/>
          <w:color w:val="0070C0"/>
        </w:rPr>
        <w:t>‑</w:t>
      </w:r>
      <w:r w:rsidRPr="007C3C6B">
        <w:rPr>
          <w:color w:val="0070C0"/>
        </w:rPr>
        <w:t>build</w:t>
      </w:r>
      <w:r w:rsidRPr="007C3C6B">
        <w:rPr>
          <w:rFonts w:ascii="Calibri" w:hAnsi="Calibri" w:cs="Calibri"/>
          <w:color w:val="0070C0"/>
        </w:rPr>
        <w:t xml:space="preserve">) </w:t>
      </w:r>
      <w:r w:rsidRPr="007C3C6B">
        <w:rPr>
          <w:color w:val="0070C0"/>
        </w:rPr>
        <w:t xml:space="preserve">have the highest claim frequency and average claim amounts; Owners are next. </w:t>
      </w:r>
    </w:p>
    <w:p w14:paraId="45FADDE4" w14:textId="4F5E5183" w:rsidR="00F35FAB" w:rsidRPr="007C3C6B" w:rsidRDefault="00F35FAB" w:rsidP="00F35FAB">
      <w:pPr>
        <w:pStyle w:val="ListParagraph"/>
        <w:numPr>
          <w:ilvl w:val="3"/>
          <w:numId w:val="4"/>
        </w:numPr>
        <w:spacing w:line="360" w:lineRule="auto"/>
        <w:rPr>
          <w:color w:val="0070C0"/>
        </w:rPr>
      </w:pPr>
      <w:r w:rsidRPr="007C3C6B">
        <w:rPr>
          <w:b/>
          <w:bCs/>
          <w:color w:val="0070C0"/>
        </w:rPr>
        <w:t>Contract quality matters:</w:t>
      </w:r>
      <w:r w:rsidRPr="007C3C6B">
        <w:rPr>
          <w:color w:val="0070C0"/>
        </w:rPr>
        <w:t xml:space="preserve"> Using your firm’s agreements yields better outcomes; verbal agreements perform worst</w:t>
      </w:r>
      <w:r w:rsidR="007C3C6B">
        <w:rPr>
          <w:color w:val="0070C0"/>
        </w:rPr>
        <w:t>.</w:t>
      </w:r>
    </w:p>
    <w:p w14:paraId="25A80215" w14:textId="77777777" w:rsidR="00303841" w:rsidRPr="00633D05" w:rsidRDefault="00303841" w:rsidP="00303841">
      <w:pPr>
        <w:pStyle w:val="ListParagraph"/>
        <w:numPr>
          <w:ilvl w:val="0"/>
          <w:numId w:val="4"/>
        </w:numPr>
        <w:spacing w:line="360" w:lineRule="auto"/>
      </w:pPr>
      <w:r w:rsidRPr="00633D05">
        <w:t>Committee Hosted Educational Programs</w:t>
      </w:r>
    </w:p>
    <w:p w14:paraId="396498BA" w14:textId="77777777" w:rsidR="00303841" w:rsidRPr="00131CC3" w:rsidRDefault="00303841" w:rsidP="00303841">
      <w:pPr>
        <w:pStyle w:val="ListParagraph"/>
        <w:numPr>
          <w:ilvl w:val="1"/>
          <w:numId w:val="4"/>
        </w:numPr>
        <w:spacing w:line="360" w:lineRule="auto"/>
      </w:pPr>
      <w:r w:rsidRPr="00633D05">
        <w:t>Upcoming Education Opportunities</w:t>
      </w:r>
    </w:p>
    <w:p w14:paraId="02DFA100" w14:textId="090B2883" w:rsidR="007C3C6B" w:rsidRPr="007C3C6B" w:rsidRDefault="007C3C6B" w:rsidP="00303841">
      <w:pPr>
        <w:pStyle w:val="ListParagraph"/>
        <w:numPr>
          <w:ilvl w:val="2"/>
          <w:numId w:val="4"/>
        </w:numPr>
        <w:spacing w:line="360" w:lineRule="auto"/>
        <w:rPr>
          <w:color w:val="0070C0"/>
        </w:rPr>
      </w:pPr>
      <w:hyperlink r:id="rId10" w:history="1">
        <w:r w:rsidRPr="00DE71FB">
          <w:rPr>
            <w:rStyle w:val="Hyperlink"/>
            <w:b/>
            <w:bCs/>
          </w:rPr>
          <w:t>Recording</w:t>
        </w:r>
      </w:hyperlink>
      <w:r w:rsidRPr="007C3C6B">
        <w:rPr>
          <w:color w:val="0070C0"/>
        </w:rPr>
        <w:t xml:space="preserve"> shared from 2/4 “Risk Management Essentials of the New Normal” by Andy Mendelson of Berkley. </w:t>
      </w:r>
    </w:p>
    <w:p w14:paraId="6343F1C8" w14:textId="1636E8A2" w:rsidR="00303841" w:rsidRPr="00CF467C" w:rsidRDefault="00303841" w:rsidP="00303841">
      <w:pPr>
        <w:pStyle w:val="ListParagraph"/>
        <w:numPr>
          <w:ilvl w:val="2"/>
          <w:numId w:val="4"/>
        </w:numPr>
        <w:spacing w:line="360" w:lineRule="auto"/>
      </w:pPr>
      <w:r w:rsidRPr="00CF467C">
        <w:t xml:space="preserve">Roger Guilian (BIT) IPD Webinar </w:t>
      </w:r>
      <w:r w:rsidR="007C3C6B">
        <w:t xml:space="preserve">– </w:t>
      </w:r>
      <w:r w:rsidR="00B519BB" w:rsidRPr="00B519BB">
        <w:rPr>
          <w:color w:val="0070C0"/>
        </w:rPr>
        <w:t xml:space="preserve">Roger provided an update on the upcoming webinar he will be hosting on behalf of the Risk Management Committee. The presentation is scheduled for </w:t>
      </w:r>
      <w:r w:rsidR="00B519BB" w:rsidRPr="00B519BB">
        <w:rPr>
          <w:b/>
          <w:bCs/>
          <w:color w:val="0070C0"/>
        </w:rPr>
        <w:t>March 23.</w:t>
      </w:r>
    </w:p>
    <w:p w14:paraId="409F7A2C" w14:textId="77777777" w:rsidR="00303841" w:rsidRPr="00633D05" w:rsidRDefault="00303841" w:rsidP="00303841">
      <w:pPr>
        <w:pStyle w:val="ListParagraph"/>
        <w:numPr>
          <w:ilvl w:val="1"/>
          <w:numId w:val="4"/>
        </w:numPr>
        <w:spacing w:line="360" w:lineRule="auto"/>
      </w:pPr>
      <w:r w:rsidRPr="00633D05">
        <w:t>Previously discussed potential programs</w:t>
      </w:r>
    </w:p>
    <w:p w14:paraId="411EAEC5" w14:textId="77777777" w:rsidR="00303841" w:rsidRPr="00DA5DF2" w:rsidRDefault="00303841" w:rsidP="00303841">
      <w:pPr>
        <w:pStyle w:val="ListParagraph"/>
        <w:numPr>
          <w:ilvl w:val="2"/>
          <w:numId w:val="4"/>
        </w:numPr>
        <w:spacing w:line="360" w:lineRule="auto"/>
      </w:pPr>
      <w:r w:rsidRPr="00DA5DF2">
        <w:t>PM Mentoring and Transition</w:t>
      </w:r>
    </w:p>
    <w:p w14:paraId="51238BAA" w14:textId="77777777" w:rsidR="00303841" w:rsidRDefault="00303841" w:rsidP="00303841">
      <w:pPr>
        <w:pStyle w:val="ListParagraph"/>
        <w:numPr>
          <w:ilvl w:val="2"/>
          <w:numId w:val="4"/>
        </w:numPr>
        <w:spacing w:line="360" w:lineRule="auto"/>
      </w:pPr>
      <w:r w:rsidRPr="00DA5DF2">
        <w:t>Subconsultants and Primes – Best Practices</w:t>
      </w:r>
    </w:p>
    <w:p w14:paraId="7C244C1E" w14:textId="075780C8" w:rsidR="00AF05D6" w:rsidRPr="007C3C6B" w:rsidRDefault="00AF05D6" w:rsidP="00303841">
      <w:pPr>
        <w:pStyle w:val="ListParagraph"/>
        <w:numPr>
          <w:ilvl w:val="2"/>
          <w:numId w:val="4"/>
        </w:numPr>
        <w:spacing w:line="360" w:lineRule="auto"/>
        <w:rPr>
          <w:color w:val="0070C0"/>
        </w:rPr>
      </w:pPr>
      <w:r w:rsidRPr="007C3C6B">
        <w:rPr>
          <w:color w:val="0070C0"/>
        </w:rPr>
        <w:t>NEW! MOT</w:t>
      </w:r>
      <w:r w:rsidR="00CF467C" w:rsidRPr="007C3C6B">
        <w:rPr>
          <w:color w:val="0070C0"/>
        </w:rPr>
        <w:t xml:space="preserve"> Plans/Risks</w:t>
      </w:r>
    </w:p>
    <w:p w14:paraId="5BB1D944" w14:textId="77777777" w:rsidR="00303841" w:rsidRDefault="00303841" w:rsidP="00303841">
      <w:pPr>
        <w:pStyle w:val="ListParagraph"/>
        <w:numPr>
          <w:ilvl w:val="1"/>
          <w:numId w:val="4"/>
        </w:numPr>
        <w:spacing w:line="360" w:lineRule="auto"/>
      </w:pPr>
      <w:r w:rsidRPr="005871D5">
        <w:t>Open discussion of other potential topics of interest</w:t>
      </w:r>
    </w:p>
    <w:p w14:paraId="50E8DDBE" w14:textId="77777777" w:rsidR="00303841" w:rsidRDefault="00303841" w:rsidP="00303841">
      <w:pPr>
        <w:pStyle w:val="ListParagraph"/>
        <w:numPr>
          <w:ilvl w:val="2"/>
          <w:numId w:val="4"/>
        </w:numPr>
        <w:spacing w:line="360" w:lineRule="auto"/>
      </w:pPr>
      <w:r w:rsidRPr="00DD4F3B">
        <w:t>Shifting Economic Loss Doctrine</w:t>
      </w:r>
      <w:r>
        <w:t xml:space="preserve"> </w:t>
      </w:r>
    </w:p>
    <w:p w14:paraId="108FAC46" w14:textId="377C86AC" w:rsidR="00303841" w:rsidRPr="007C2E23" w:rsidRDefault="00303841" w:rsidP="00303841">
      <w:pPr>
        <w:pStyle w:val="ListParagraph"/>
        <w:numPr>
          <w:ilvl w:val="2"/>
          <w:numId w:val="4"/>
        </w:numPr>
        <w:spacing w:line="360" w:lineRule="auto"/>
      </w:pPr>
      <w:r w:rsidRPr="007C2E23">
        <w:lastRenderedPageBreak/>
        <w:t>Securing Stamps &amp; Seals</w:t>
      </w:r>
      <w:r w:rsidR="00DE71FB">
        <w:t xml:space="preserve"> – </w:t>
      </w:r>
      <w:r w:rsidR="00F4761A">
        <w:t xml:space="preserve">Software / technology: </w:t>
      </w:r>
      <w:r w:rsidR="00F4761A">
        <w:rPr>
          <w:color w:val="0070C0"/>
        </w:rPr>
        <w:t>Increasing easily for seals to misappropriated by 3</w:t>
      </w:r>
      <w:r w:rsidR="00F4761A" w:rsidRPr="00F4761A">
        <w:rPr>
          <w:color w:val="0070C0"/>
          <w:vertAlign w:val="superscript"/>
        </w:rPr>
        <w:t>rd</w:t>
      </w:r>
      <w:r w:rsidR="00F4761A">
        <w:rPr>
          <w:color w:val="0070C0"/>
        </w:rPr>
        <w:t xml:space="preserve"> party or inadvertently misused without sealing professional’s full knowledge.  Consider reviewing internal processes and controls to limit access or application of seals.</w:t>
      </w:r>
    </w:p>
    <w:p w14:paraId="72D0C2A2" w14:textId="77777777" w:rsidR="00303841" w:rsidRPr="007C2E23" w:rsidRDefault="00303841" w:rsidP="00303841">
      <w:pPr>
        <w:pStyle w:val="ListParagraph"/>
        <w:numPr>
          <w:ilvl w:val="0"/>
          <w:numId w:val="4"/>
        </w:numPr>
        <w:spacing w:line="360" w:lineRule="auto"/>
      </w:pPr>
      <w:r w:rsidRPr="007C2E23">
        <w:t>Open Discussion/New Business</w:t>
      </w:r>
    </w:p>
    <w:p w14:paraId="4D009B14" w14:textId="77777777" w:rsidR="005A3881" w:rsidRDefault="00303841" w:rsidP="00DE71FB">
      <w:pPr>
        <w:pStyle w:val="ListParagraph"/>
        <w:numPr>
          <w:ilvl w:val="0"/>
          <w:numId w:val="4"/>
        </w:numPr>
        <w:spacing w:line="360" w:lineRule="auto"/>
      </w:pPr>
      <w:r w:rsidRPr="005871D5">
        <w:t>Adjourn</w:t>
      </w:r>
      <w:r>
        <w:t xml:space="preserve"> </w:t>
      </w:r>
    </w:p>
    <w:p w14:paraId="15543E0E" w14:textId="04EB2BEB" w:rsidR="00427CF0" w:rsidRPr="00605B6B" w:rsidRDefault="00303841" w:rsidP="005A3881">
      <w:pPr>
        <w:pStyle w:val="ListParagraph"/>
        <w:numPr>
          <w:ilvl w:val="1"/>
          <w:numId w:val="4"/>
        </w:numPr>
        <w:spacing w:line="360" w:lineRule="auto"/>
      </w:pPr>
      <w:r w:rsidRPr="00E43DAA">
        <w:t>Next Meeting</w:t>
      </w:r>
      <w:r>
        <w:t xml:space="preserve"> </w:t>
      </w:r>
      <w:r w:rsidRPr="00E43DAA">
        <w:t>Date</w:t>
      </w:r>
      <w:r>
        <w:t>:</w:t>
      </w:r>
      <w:r w:rsidRPr="00E43DAA">
        <w:t xml:space="preserve"> TBD</w:t>
      </w:r>
      <w:r>
        <w:t xml:space="preserve"> (May TBD or June at Spring Board)</w:t>
      </w:r>
    </w:p>
    <w:sectPr w:rsidR="00427CF0" w:rsidRPr="00605B6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2E95" w14:textId="77777777" w:rsidR="006D7B76" w:rsidRDefault="006D7B76" w:rsidP="00FC18E7">
      <w:pPr>
        <w:spacing w:after="0" w:line="240" w:lineRule="auto"/>
      </w:pPr>
      <w:r>
        <w:separator/>
      </w:r>
    </w:p>
  </w:endnote>
  <w:endnote w:type="continuationSeparator" w:id="0">
    <w:p w14:paraId="2EF11CBA" w14:textId="77777777" w:rsidR="006D7B76" w:rsidRDefault="006D7B76" w:rsidP="00FC18E7">
      <w:pPr>
        <w:spacing w:after="0" w:line="240" w:lineRule="auto"/>
      </w:pPr>
      <w:r>
        <w:continuationSeparator/>
      </w:r>
    </w:p>
  </w:endnote>
  <w:endnote w:type="continuationNotice" w:id="1">
    <w:p w14:paraId="41174FD5" w14:textId="77777777" w:rsidR="006D7B76" w:rsidRDefault="006D7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D3A1" w14:textId="77777777" w:rsidR="006D7B76" w:rsidRDefault="006D7B76" w:rsidP="00FC18E7">
      <w:pPr>
        <w:spacing w:after="0" w:line="240" w:lineRule="auto"/>
      </w:pPr>
      <w:r>
        <w:separator/>
      </w:r>
    </w:p>
  </w:footnote>
  <w:footnote w:type="continuationSeparator" w:id="0">
    <w:p w14:paraId="05BFEE81" w14:textId="77777777" w:rsidR="006D7B76" w:rsidRDefault="006D7B76" w:rsidP="00FC18E7">
      <w:pPr>
        <w:spacing w:after="0" w:line="240" w:lineRule="auto"/>
      </w:pPr>
      <w:r>
        <w:continuationSeparator/>
      </w:r>
    </w:p>
  </w:footnote>
  <w:footnote w:type="continuationNotice" w:id="1">
    <w:p w14:paraId="7DBC73A3" w14:textId="77777777" w:rsidR="006D7B76" w:rsidRDefault="006D7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4B21" w14:textId="46A25E13" w:rsidR="00FC18E7" w:rsidRDefault="00534DBA">
    <w:pPr>
      <w:pStyle w:val="Header"/>
    </w:pPr>
    <w:r>
      <w:rPr>
        <w:noProof/>
      </w:rPr>
      <w:drawing>
        <wp:inline distT="0" distB="0" distL="0" distR="0" wp14:anchorId="457F42E5" wp14:editId="652B3BCF">
          <wp:extent cx="798830" cy="646430"/>
          <wp:effectExtent l="0" t="0" r="1270" b="1270"/>
          <wp:docPr id="204986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B1C"/>
    <w:multiLevelType w:val="hybridMultilevel"/>
    <w:tmpl w:val="BE542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B4AC4"/>
    <w:multiLevelType w:val="hybridMultilevel"/>
    <w:tmpl w:val="07F24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6678AC"/>
    <w:multiLevelType w:val="hybridMultilevel"/>
    <w:tmpl w:val="75EA2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D2289"/>
    <w:multiLevelType w:val="hybridMultilevel"/>
    <w:tmpl w:val="35CC5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9378519">
    <w:abstractNumId w:val="2"/>
  </w:num>
  <w:num w:numId="2" w16cid:durableId="1226378671">
    <w:abstractNumId w:val="1"/>
  </w:num>
  <w:num w:numId="3" w16cid:durableId="1414934793">
    <w:abstractNumId w:val="3"/>
  </w:num>
  <w:num w:numId="4" w16cid:durableId="137396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6D"/>
    <w:rsid w:val="00000320"/>
    <w:rsid w:val="000019F6"/>
    <w:rsid w:val="00003A64"/>
    <w:rsid w:val="00004D59"/>
    <w:rsid w:val="000212C0"/>
    <w:rsid w:val="00030880"/>
    <w:rsid w:val="00036D01"/>
    <w:rsid w:val="00051B27"/>
    <w:rsid w:val="000578C5"/>
    <w:rsid w:val="00063C3D"/>
    <w:rsid w:val="00071B40"/>
    <w:rsid w:val="0007322D"/>
    <w:rsid w:val="00092DCD"/>
    <w:rsid w:val="000A18CF"/>
    <w:rsid w:val="000C5EB8"/>
    <w:rsid w:val="000D6E7F"/>
    <w:rsid w:val="000E0EBA"/>
    <w:rsid w:val="000F560A"/>
    <w:rsid w:val="00100E41"/>
    <w:rsid w:val="001040F1"/>
    <w:rsid w:val="00110CF5"/>
    <w:rsid w:val="001156E7"/>
    <w:rsid w:val="00121721"/>
    <w:rsid w:val="00123BF8"/>
    <w:rsid w:val="001273B1"/>
    <w:rsid w:val="00135A5C"/>
    <w:rsid w:val="00136A38"/>
    <w:rsid w:val="0013744A"/>
    <w:rsid w:val="00140F99"/>
    <w:rsid w:val="001479F2"/>
    <w:rsid w:val="00150333"/>
    <w:rsid w:val="00154066"/>
    <w:rsid w:val="00164F59"/>
    <w:rsid w:val="00172ACA"/>
    <w:rsid w:val="00184692"/>
    <w:rsid w:val="00186C52"/>
    <w:rsid w:val="0019778D"/>
    <w:rsid w:val="001A73CD"/>
    <w:rsid w:val="001B1FC6"/>
    <w:rsid w:val="001B315F"/>
    <w:rsid w:val="001B7916"/>
    <w:rsid w:val="001C0930"/>
    <w:rsid w:val="001C4412"/>
    <w:rsid w:val="001C5327"/>
    <w:rsid w:val="001C69D5"/>
    <w:rsid w:val="001D4665"/>
    <w:rsid w:val="001D6993"/>
    <w:rsid w:val="001E3A38"/>
    <w:rsid w:val="001F040D"/>
    <w:rsid w:val="001F1342"/>
    <w:rsid w:val="001F3C3D"/>
    <w:rsid w:val="002042DB"/>
    <w:rsid w:val="002059BE"/>
    <w:rsid w:val="00206D2C"/>
    <w:rsid w:val="002078F5"/>
    <w:rsid w:val="002201EF"/>
    <w:rsid w:val="00227BCD"/>
    <w:rsid w:val="00231AD9"/>
    <w:rsid w:val="002368E8"/>
    <w:rsid w:val="002405AB"/>
    <w:rsid w:val="00244856"/>
    <w:rsid w:val="002510E0"/>
    <w:rsid w:val="00263072"/>
    <w:rsid w:val="0026421D"/>
    <w:rsid w:val="00264773"/>
    <w:rsid w:val="00275D43"/>
    <w:rsid w:val="002863A4"/>
    <w:rsid w:val="0029121D"/>
    <w:rsid w:val="00292F7B"/>
    <w:rsid w:val="00293665"/>
    <w:rsid w:val="002A0E3D"/>
    <w:rsid w:val="002A21E9"/>
    <w:rsid w:val="002C25A9"/>
    <w:rsid w:val="002D2B26"/>
    <w:rsid w:val="002D4FD2"/>
    <w:rsid w:val="002D5C35"/>
    <w:rsid w:val="002E3E6E"/>
    <w:rsid w:val="002F0034"/>
    <w:rsid w:val="002F3E37"/>
    <w:rsid w:val="003002E7"/>
    <w:rsid w:val="00303167"/>
    <w:rsid w:val="00303841"/>
    <w:rsid w:val="00344BDC"/>
    <w:rsid w:val="00353D5F"/>
    <w:rsid w:val="003545D3"/>
    <w:rsid w:val="003565B1"/>
    <w:rsid w:val="00356CA3"/>
    <w:rsid w:val="003771E2"/>
    <w:rsid w:val="00394132"/>
    <w:rsid w:val="00396529"/>
    <w:rsid w:val="003A26C1"/>
    <w:rsid w:val="003A52F5"/>
    <w:rsid w:val="003A53F7"/>
    <w:rsid w:val="003B213D"/>
    <w:rsid w:val="003B46DC"/>
    <w:rsid w:val="003C09C9"/>
    <w:rsid w:val="003C47C0"/>
    <w:rsid w:val="003D344A"/>
    <w:rsid w:val="003E14D1"/>
    <w:rsid w:val="003E276A"/>
    <w:rsid w:val="003E492A"/>
    <w:rsid w:val="003E730C"/>
    <w:rsid w:val="003F226C"/>
    <w:rsid w:val="00400227"/>
    <w:rsid w:val="00407EE4"/>
    <w:rsid w:val="00421137"/>
    <w:rsid w:val="00427CF0"/>
    <w:rsid w:val="004302EF"/>
    <w:rsid w:val="00440952"/>
    <w:rsid w:val="00442091"/>
    <w:rsid w:val="00451D2C"/>
    <w:rsid w:val="004522B2"/>
    <w:rsid w:val="00474749"/>
    <w:rsid w:val="004850EC"/>
    <w:rsid w:val="00486BDD"/>
    <w:rsid w:val="004924A6"/>
    <w:rsid w:val="004B3065"/>
    <w:rsid w:val="004B484C"/>
    <w:rsid w:val="004B51C7"/>
    <w:rsid w:val="004C13BF"/>
    <w:rsid w:val="004C2354"/>
    <w:rsid w:val="004C2769"/>
    <w:rsid w:val="004C4B71"/>
    <w:rsid w:val="004C638A"/>
    <w:rsid w:val="004E4CE4"/>
    <w:rsid w:val="004E5A30"/>
    <w:rsid w:val="004F23F5"/>
    <w:rsid w:val="004F4373"/>
    <w:rsid w:val="00502673"/>
    <w:rsid w:val="0050724A"/>
    <w:rsid w:val="005155C4"/>
    <w:rsid w:val="00515F81"/>
    <w:rsid w:val="005171FB"/>
    <w:rsid w:val="00523400"/>
    <w:rsid w:val="00524E4A"/>
    <w:rsid w:val="005339DD"/>
    <w:rsid w:val="00534DBA"/>
    <w:rsid w:val="00536668"/>
    <w:rsid w:val="00542AE8"/>
    <w:rsid w:val="0054517A"/>
    <w:rsid w:val="005600B2"/>
    <w:rsid w:val="00566AF4"/>
    <w:rsid w:val="005735B9"/>
    <w:rsid w:val="00577885"/>
    <w:rsid w:val="00583457"/>
    <w:rsid w:val="00585366"/>
    <w:rsid w:val="005857B2"/>
    <w:rsid w:val="0059662C"/>
    <w:rsid w:val="005A0BF8"/>
    <w:rsid w:val="005A3881"/>
    <w:rsid w:val="005B0E88"/>
    <w:rsid w:val="005C07D1"/>
    <w:rsid w:val="005D2C16"/>
    <w:rsid w:val="005E66F6"/>
    <w:rsid w:val="005F3E83"/>
    <w:rsid w:val="005F636B"/>
    <w:rsid w:val="00601B55"/>
    <w:rsid w:val="00605B6B"/>
    <w:rsid w:val="006122FD"/>
    <w:rsid w:val="00614B18"/>
    <w:rsid w:val="006231D0"/>
    <w:rsid w:val="00630B82"/>
    <w:rsid w:val="00631A30"/>
    <w:rsid w:val="00637DA8"/>
    <w:rsid w:val="006658AC"/>
    <w:rsid w:val="00671D42"/>
    <w:rsid w:val="006754C4"/>
    <w:rsid w:val="006801F3"/>
    <w:rsid w:val="00683C2F"/>
    <w:rsid w:val="006841E4"/>
    <w:rsid w:val="0068689E"/>
    <w:rsid w:val="0069019A"/>
    <w:rsid w:val="00694788"/>
    <w:rsid w:val="00696996"/>
    <w:rsid w:val="006A520A"/>
    <w:rsid w:val="006A532C"/>
    <w:rsid w:val="006A5339"/>
    <w:rsid w:val="006B7FC7"/>
    <w:rsid w:val="006C5D6B"/>
    <w:rsid w:val="006C5D72"/>
    <w:rsid w:val="006D64ED"/>
    <w:rsid w:val="006D7B76"/>
    <w:rsid w:val="006E5C7D"/>
    <w:rsid w:val="006E5F1D"/>
    <w:rsid w:val="00701693"/>
    <w:rsid w:val="00704874"/>
    <w:rsid w:val="007056CC"/>
    <w:rsid w:val="00716E6F"/>
    <w:rsid w:val="007174DA"/>
    <w:rsid w:val="00735897"/>
    <w:rsid w:val="00735B3B"/>
    <w:rsid w:val="007430CC"/>
    <w:rsid w:val="007448BA"/>
    <w:rsid w:val="00746285"/>
    <w:rsid w:val="007520E9"/>
    <w:rsid w:val="007522DE"/>
    <w:rsid w:val="00754A60"/>
    <w:rsid w:val="00772707"/>
    <w:rsid w:val="00772A89"/>
    <w:rsid w:val="00780342"/>
    <w:rsid w:val="00782193"/>
    <w:rsid w:val="00782E2D"/>
    <w:rsid w:val="007943BD"/>
    <w:rsid w:val="00794BA2"/>
    <w:rsid w:val="00797C46"/>
    <w:rsid w:val="007A34F8"/>
    <w:rsid w:val="007B4E02"/>
    <w:rsid w:val="007C1346"/>
    <w:rsid w:val="007C2079"/>
    <w:rsid w:val="007C3C6B"/>
    <w:rsid w:val="007D0964"/>
    <w:rsid w:val="007D0C42"/>
    <w:rsid w:val="007E5616"/>
    <w:rsid w:val="007E5D72"/>
    <w:rsid w:val="007E674D"/>
    <w:rsid w:val="007F4572"/>
    <w:rsid w:val="007F4B71"/>
    <w:rsid w:val="007F64E8"/>
    <w:rsid w:val="007F7956"/>
    <w:rsid w:val="00800C71"/>
    <w:rsid w:val="00805925"/>
    <w:rsid w:val="00810036"/>
    <w:rsid w:val="00813CD4"/>
    <w:rsid w:val="00817B10"/>
    <w:rsid w:val="008232B9"/>
    <w:rsid w:val="00827F42"/>
    <w:rsid w:val="00832F46"/>
    <w:rsid w:val="0083388B"/>
    <w:rsid w:val="0083562F"/>
    <w:rsid w:val="00837BD6"/>
    <w:rsid w:val="00837EE5"/>
    <w:rsid w:val="008436DE"/>
    <w:rsid w:val="0087222F"/>
    <w:rsid w:val="00875218"/>
    <w:rsid w:val="00884501"/>
    <w:rsid w:val="00894F4A"/>
    <w:rsid w:val="0089543E"/>
    <w:rsid w:val="0089746C"/>
    <w:rsid w:val="008A01E6"/>
    <w:rsid w:val="008A0CC0"/>
    <w:rsid w:val="008D1256"/>
    <w:rsid w:val="008D14C0"/>
    <w:rsid w:val="008D17B3"/>
    <w:rsid w:val="008F6EC7"/>
    <w:rsid w:val="00906732"/>
    <w:rsid w:val="00914E2F"/>
    <w:rsid w:val="0092030F"/>
    <w:rsid w:val="009217F9"/>
    <w:rsid w:val="00921D2F"/>
    <w:rsid w:val="00922472"/>
    <w:rsid w:val="00925880"/>
    <w:rsid w:val="00930ED5"/>
    <w:rsid w:val="00936516"/>
    <w:rsid w:val="00943A52"/>
    <w:rsid w:val="00950B86"/>
    <w:rsid w:val="00950BAE"/>
    <w:rsid w:val="00970456"/>
    <w:rsid w:val="009710E2"/>
    <w:rsid w:val="009722EB"/>
    <w:rsid w:val="009736D9"/>
    <w:rsid w:val="0097457C"/>
    <w:rsid w:val="00977121"/>
    <w:rsid w:val="00980782"/>
    <w:rsid w:val="009830B2"/>
    <w:rsid w:val="00994550"/>
    <w:rsid w:val="009A3CF3"/>
    <w:rsid w:val="009A5D30"/>
    <w:rsid w:val="009B064C"/>
    <w:rsid w:val="009B3535"/>
    <w:rsid w:val="009B57D6"/>
    <w:rsid w:val="009B6A42"/>
    <w:rsid w:val="009C08B6"/>
    <w:rsid w:val="009D6197"/>
    <w:rsid w:val="009E1C7B"/>
    <w:rsid w:val="009E6FEB"/>
    <w:rsid w:val="00A00315"/>
    <w:rsid w:val="00A120DD"/>
    <w:rsid w:val="00A13061"/>
    <w:rsid w:val="00A14284"/>
    <w:rsid w:val="00A15242"/>
    <w:rsid w:val="00A17E49"/>
    <w:rsid w:val="00A228B3"/>
    <w:rsid w:val="00A251ED"/>
    <w:rsid w:val="00A25390"/>
    <w:rsid w:val="00A27B63"/>
    <w:rsid w:val="00A374BC"/>
    <w:rsid w:val="00A41FD0"/>
    <w:rsid w:val="00A54307"/>
    <w:rsid w:val="00A63E77"/>
    <w:rsid w:val="00A86EFB"/>
    <w:rsid w:val="00A909B6"/>
    <w:rsid w:val="00A90A4E"/>
    <w:rsid w:val="00A97E92"/>
    <w:rsid w:val="00AA6E00"/>
    <w:rsid w:val="00AC0587"/>
    <w:rsid w:val="00AC6B18"/>
    <w:rsid w:val="00AD79D2"/>
    <w:rsid w:val="00AD7B1D"/>
    <w:rsid w:val="00AE51D6"/>
    <w:rsid w:val="00AF0343"/>
    <w:rsid w:val="00AF05D6"/>
    <w:rsid w:val="00AF7784"/>
    <w:rsid w:val="00B00AAC"/>
    <w:rsid w:val="00B0336E"/>
    <w:rsid w:val="00B11444"/>
    <w:rsid w:val="00B22F2E"/>
    <w:rsid w:val="00B3411E"/>
    <w:rsid w:val="00B40C05"/>
    <w:rsid w:val="00B4526C"/>
    <w:rsid w:val="00B4625F"/>
    <w:rsid w:val="00B46BEC"/>
    <w:rsid w:val="00B519BB"/>
    <w:rsid w:val="00B67EC8"/>
    <w:rsid w:val="00B72A68"/>
    <w:rsid w:val="00B9075D"/>
    <w:rsid w:val="00B908D8"/>
    <w:rsid w:val="00B92237"/>
    <w:rsid w:val="00BB0189"/>
    <w:rsid w:val="00BC7E13"/>
    <w:rsid w:val="00BD3C98"/>
    <w:rsid w:val="00BE41E8"/>
    <w:rsid w:val="00BE5C6A"/>
    <w:rsid w:val="00BF3598"/>
    <w:rsid w:val="00C25E89"/>
    <w:rsid w:val="00C26AF9"/>
    <w:rsid w:val="00C30EB6"/>
    <w:rsid w:val="00C31CB3"/>
    <w:rsid w:val="00C3286F"/>
    <w:rsid w:val="00C3393F"/>
    <w:rsid w:val="00C37924"/>
    <w:rsid w:val="00C42DBA"/>
    <w:rsid w:val="00C473CC"/>
    <w:rsid w:val="00C5145B"/>
    <w:rsid w:val="00C63B9A"/>
    <w:rsid w:val="00C75B1A"/>
    <w:rsid w:val="00C90BAC"/>
    <w:rsid w:val="00CA03F3"/>
    <w:rsid w:val="00CA2A43"/>
    <w:rsid w:val="00CA2EC3"/>
    <w:rsid w:val="00CA7A3D"/>
    <w:rsid w:val="00CC5867"/>
    <w:rsid w:val="00CC6556"/>
    <w:rsid w:val="00CC7475"/>
    <w:rsid w:val="00CD166A"/>
    <w:rsid w:val="00CD20E9"/>
    <w:rsid w:val="00CD57BC"/>
    <w:rsid w:val="00CD62AE"/>
    <w:rsid w:val="00CD7C6C"/>
    <w:rsid w:val="00CE24DA"/>
    <w:rsid w:val="00CF467C"/>
    <w:rsid w:val="00CF4FB6"/>
    <w:rsid w:val="00CF672B"/>
    <w:rsid w:val="00CF7164"/>
    <w:rsid w:val="00D015D4"/>
    <w:rsid w:val="00D03CFB"/>
    <w:rsid w:val="00D113AA"/>
    <w:rsid w:val="00D14BE9"/>
    <w:rsid w:val="00D3011D"/>
    <w:rsid w:val="00D338B0"/>
    <w:rsid w:val="00D5313A"/>
    <w:rsid w:val="00D62358"/>
    <w:rsid w:val="00D62AB1"/>
    <w:rsid w:val="00D64905"/>
    <w:rsid w:val="00D7245B"/>
    <w:rsid w:val="00D76E27"/>
    <w:rsid w:val="00D803BE"/>
    <w:rsid w:val="00D94527"/>
    <w:rsid w:val="00DA3D59"/>
    <w:rsid w:val="00DA4341"/>
    <w:rsid w:val="00DA7037"/>
    <w:rsid w:val="00DB0E6D"/>
    <w:rsid w:val="00DB1441"/>
    <w:rsid w:val="00DB63CB"/>
    <w:rsid w:val="00DC7510"/>
    <w:rsid w:val="00DD32F0"/>
    <w:rsid w:val="00DD56A3"/>
    <w:rsid w:val="00DD6EF8"/>
    <w:rsid w:val="00DE71FB"/>
    <w:rsid w:val="00DF1395"/>
    <w:rsid w:val="00DF177E"/>
    <w:rsid w:val="00DF1D9D"/>
    <w:rsid w:val="00DF47D9"/>
    <w:rsid w:val="00DF67F3"/>
    <w:rsid w:val="00E16FAF"/>
    <w:rsid w:val="00E22319"/>
    <w:rsid w:val="00E36DA3"/>
    <w:rsid w:val="00E426E0"/>
    <w:rsid w:val="00E45296"/>
    <w:rsid w:val="00E4676D"/>
    <w:rsid w:val="00E47E85"/>
    <w:rsid w:val="00E5275A"/>
    <w:rsid w:val="00E52CCB"/>
    <w:rsid w:val="00E752A2"/>
    <w:rsid w:val="00E762D9"/>
    <w:rsid w:val="00E76470"/>
    <w:rsid w:val="00E83C7F"/>
    <w:rsid w:val="00E94200"/>
    <w:rsid w:val="00E966E9"/>
    <w:rsid w:val="00EA6FD8"/>
    <w:rsid w:val="00EB0FC8"/>
    <w:rsid w:val="00EC1EBA"/>
    <w:rsid w:val="00EC1ECE"/>
    <w:rsid w:val="00EC31D9"/>
    <w:rsid w:val="00ED6471"/>
    <w:rsid w:val="00EE1184"/>
    <w:rsid w:val="00EE1E32"/>
    <w:rsid w:val="00EE306B"/>
    <w:rsid w:val="00F11541"/>
    <w:rsid w:val="00F13A04"/>
    <w:rsid w:val="00F21F7E"/>
    <w:rsid w:val="00F30098"/>
    <w:rsid w:val="00F31E8A"/>
    <w:rsid w:val="00F358AF"/>
    <w:rsid w:val="00F35FAB"/>
    <w:rsid w:val="00F42B16"/>
    <w:rsid w:val="00F4761A"/>
    <w:rsid w:val="00F65A9F"/>
    <w:rsid w:val="00F81777"/>
    <w:rsid w:val="00F85CC7"/>
    <w:rsid w:val="00FA08F3"/>
    <w:rsid w:val="00FA09FE"/>
    <w:rsid w:val="00FA64A0"/>
    <w:rsid w:val="00FB1131"/>
    <w:rsid w:val="00FB1BCF"/>
    <w:rsid w:val="00FC18E7"/>
    <w:rsid w:val="00FC1964"/>
    <w:rsid w:val="00FD3E86"/>
    <w:rsid w:val="00FE44D8"/>
    <w:rsid w:val="00FE5370"/>
    <w:rsid w:val="00FF11A1"/>
    <w:rsid w:val="00FF466B"/>
    <w:rsid w:val="00FF544E"/>
    <w:rsid w:val="00FF6503"/>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EE435"/>
  <w15:chartTrackingRefBased/>
  <w15:docId w15:val="{E9320012-03B6-43D1-913F-8BD56988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6B"/>
    <w:pPr>
      <w:ind w:left="720"/>
      <w:contextualSpacing/>
    </w:pPr>
  </w:style>
  <w:style w:type="paragraph" w:styleId="Header">
    <w:name w:val="header"/>
    <w:basedOn w:val="Normal"/>
    <w:link w:val="HeaderChar"/>
    <w:uiPriority w:val="99"/>
    <w:unhideWhenUsed/>
    <w:rsid w:val="00FC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8E7"/>
  </w:style>
  <w:style w:type="paragraph" w:styleId="Footer">
    <w:name w:val="footer"/>
    <w:basedOn w:val="Normal"/>
    <w:link w:val="FooterChar"/>
    <w:uiPriority w:val="99"/>
    <w:unhideWhenUsed/>
    <w:rsid w:val="00FC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8E7"/>
  </w:style>
  <w:style w:type="character" w:customStyle="1" w:styleId="address-line1">
    <w:name w:val="address-line1"/>
    <w:basedOn w:val="DefaultParagraphFont"/>
    <w:rsid w:val="00100E41"/>
  </w:style>
  <w:style w:type="character" w:styleId="Hyperlink">
    <w:name w:val="Hyperlink"/>
    <w:basedOn w:val="DefaultParagraphFont"/>
    <w:uiPriority w:val="99"/>
    <w:unhideWhenUsed/>
    <w:rsid w:val="00536668"/>
    <w:rPr>
      <w:color w:val="0563C1" w:themeColor="hyperlink"/>
      <w:u w:val="single"/>
    </w:rPr>
  </w:style>
  <w:style w:type="character" w:styleId="UnresolvedMention">
    <w:name w:val="Unresolved Mention"/>
    <w:basedOn w:val="DefaultParagraphFont"/>
    <w:uiPriority w:val="99"/>
    <w:semiHidden/>
    <w:unhideWhenUsed/>
    <w:rsid w:val="00536668"/>
    <w:rPr>
      <w:color w:val="605E5C"/>
      <w:shd w:val="clear" w:color="auto" w:fill="E1DFDD"/>
    </w:rPr>
  </w:style>
  <w:style w:type="paragraph" w:styleId="NormalWeb">
    <w:name w:val="Normal (Web)"/>
    <w:basedOn w:val="Normal"/>
    <w:uiPriority w:val="99"/>
    <w:semiHidden/>
    <w:unhideWhenUsed/>
    <w:rsid w:val="008722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9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J8qCKbVy3q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AF5786807E84EBDEB286852798BBB" ma:contentTypeVersion="19" ma:contentTypeDescription="Create a new document." ma:contentTypeScope="" ma:versionID="f654a037163a0db33b5c6f1b6ec7a029">
  <xsd:schema xmlns:xsd="http://www.w3.org/2001/XMLSchema" xmlns:xs="http://www.w3.org/2001/XMLSchema" xmlns:p="http://schemas.microsoft.com/office/2006/metadata/properties" xmlns:ns2="0b2dd60a-8ffc-4dfb-81ff-74eb16b47b0e" xmlns:ns3="9349e697-c866-4dc4-b9bc-b321e7937d60" targetNamespace="http://schemas.microsoft.com/office/2006/metadata/properties" ma:root="true" ma:fieldsID="7b602d3b6c28f1dbeeb7bf768ee6365f" ns2:_="" ns3:_="">
    <xsd:import namespace="0b2dd60a-8ffc-4dfb-81ff-74eb16b47b0e"/>
    <xsd:import namespace="9349e697-c866-4dc4-b9bc-b321e7937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d60a-8ffc-4dfb-81ff-74eb16b47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d88e45-8766-421b-ac46-e0900d2fda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9e697-c866-4dc4-b9bc-b321e7937d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85972-9e8b-4e8e-a6d3-1c06cc408e1e}" ma:internalName="TaxCatchAll" ma:showField="CatchAllData" ma:web="9349e697-c866-4dc4-b9bc-b321e7937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49e697-c866-4dc4-b9bc-b321e7937d60" xsi:nil="true"/>
    <lcf76f155ced4ddcb4097134ff3c332f xmlns="0b2dd60a-8ffc-4dfb-81ff-74eb16b47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6DC4-ECC5-49E0-92C9-6E26D5C85BF1}">
  <ds:schemaRefs>
    <ds:schemaRef ds:uri="http://schemas.microsoft.com/sharepoint/v3/contenttype/forms"/>
  </ds:schemaRefs>
</ds:datastoreItem>
</file>

<file path=customXml/itemProps2.xml><?xml version="1.0" encoding="utf-8"?>
<ds:datastoreItem xmlns:ds="http://schemas.openxmlformats.org/officeDocument/2006/customXml" ds:itemID="{CFA045B9-F31C-4049-9343-E0C32A2E482D}"/>
</file>

<file path=customXml/itemProps3.xml><?xml version="1.0" encoding="utf-8"?>
<ds:datastoreItem xmlns:ds="http://schemas.openxmlformats.org/officeDocument/2006/customXml" ds:itemID="{54A2B0B8-8F80-4410-A561-BE20C2A83CB8}">
  <ds:schemaRefs>
    <ds:schemaRef ds:uri="http://schemas.microsoft.com/office/2006/metadata/properties"/>
    <ds:schemaRef ds:uri="http://schemas.microsoft.com/office/infopath/2007/PartnerControls"/>
    <ds:schemaRef ds:uri="9349e697-c866-4dc4-b9bc-b321e7937d60"/>
    <ds:schemaRef ds:uri="0b2dd60a-8ffc-4dfb-81ff-74eb16b47b0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503</Words>
  <Characters>2948</Characters>
  <Application>Microsoft Office Word</Application>
  <DocSecurity>4</DocSecurity>
  <Lines>70</Lines>
  <Paragraphs>54</Paragraphs>
  <ScaleCrop>false</ScaleCrop>
  <HeadingPairs>
    <vt:vector size="2" baseType="variant">
      <vt:variant>
        <vt:lpstr>Title</vt:lpstr>
      </vt:variant>
      <vt:variant>
        <vt:i4>1</vt:i4>
      </vt:variant>
    </vt:vector>
  </HeadingPairs>
  <TitlesOfParts>
    <vt:vector size="1" baseType="lpstr">
      <vt:lpstr/>
    </vt:vector>
  </TitlesOfParts>
  <Company>Clark Dietz, Inc.</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 T. Payonk</dc:creator>
  <cp:keywords/>
  <dc:description/>
  <cp:lastModifiedBy>Winner, Erin</cp:lastModifiedBy>
  <cp:revision>2</cp:revision>
  <cp:lastPrinted>2023-05-03T18:25:00Z</cp:lastPrinted>
  <dcterms:created xsi:type="dcterms:W3CDTF">2026-03-25T13:08:00Z</dcterms:created>
  <dcterms:modified xsi:type="dcterms:W3CDTF">2026-03-25T13:08:00Z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0x010100E14AF5786807E84EBDEB286852798BBB</vt:lpwstr>
  </property>
</Properties>
</file>