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4171" w14:textId="77777777" w:rsidR="007007E2" w:rsidRPr="007007E2" w:rsidRDefault="007007E2" w:rsidP="007007E2">
      <w:pPr>
        <w:rPr>
          <w:rFonts w:ascii="Times New Roman" w:eastAsia="Times New Roman" w:hAnsi="Times New Roman" w:cs="Times New Roman"/>
        </w:rPr>
      </w:pP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  <w:shd w:val="clear" w:color="auto" w:fill="FFFFFF"/>
        </w:rPr>
        <w:t>While we outline major changes below, we ask that you take a moment to familiarize yourself with this new version of the student housing lease. </w:t>
      </w:r>
      <w:r w:rsidRPr="007007E2">
        <w:rPr>
          <w:rFonts w:ascii="Helvetica Neue" w:eastAsia="Times New Roman" w:hAnsi="Helvetica Neue" w:cs="Times New Roman"/>
          <w:b/>
          <w:bCs/>
          <w:color w:val="222222"/>
          <w:sz w:val="25"/>
          <w:szCs w:val="25"/>
        </w:rPr>
        <w:t>This form will be updated for the following states: CO, CT, DE, FL, ID, IN, MN, MS, ND, NE, NH, NJ, PA, VA, and WA.</w:t>
      </w: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br/>
      </w: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br/>
      </w: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  <w:shd w:val="clear" w:color="auto" w:fill="FFFFFF"/>
        </w:rPr>
        <w:t>Should you have any questions about these changes, please contact NAA.  As always, we recommend you and your local legal counsel review all new and/or updated forms before implementing them into your leasing operations.</w:t>
      </w: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br/>
      </w: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br/>
      </w:r>
      <w:r w:rsidRPr="007007E2">
        <w:rPr>
          <w:rFonts w:ascii="Helvetica Neue" w:eastAsia="Times New Roman" w:hAnsi="Helvetica Neue" w:cs="Times New Roman"/>
          <w:b/>
          <w:bCs/>
          <w:color w:val="222222"/>
          <w:sz w:val="25"/>
          <w:szCs w:val="25"/>
          <w:u w:val="single"/>
        </w:rPr>
        <w:t>Updated Form:</w:t>
      </w:r>
    </w:p>
    <w:p w14:paraId="224B4D8A" w14:textId="77777777" w:rsidR="007007E2" w:rsidRPr="007007E2" w:rsidRDefault="007007E2" w:rsidP="007007E2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222222"/>
          <w:sz w:val="25"/>
          <w:szCs w:val="25"/>
        </w:rPr>
      </w:pPr>
      <w:r w:rsidRPr="007007E2">
        <w:rPr>
          <w:rFonts w:ascii="Helvetica Neue" w:eastAsia="Times New Roman" w:hAnsi="Helvetica Neue" w:cs="Times New Roman"/>
          <w:b/>
          <w:bCs/>
          <w:color w:val="222222"/>
          <w:sz w:val="25"/>
          <w:szCs w:val="25"/>
        </w:rPr>
        <w:t>Student Housing Lease Contract</w:t>
      </w:r>
    </w:p>
    <w:p w14:paraId="3DEA7788" w14:textId="77777777" w:rsidR="007007E2" w:rsidRPr="007007E2" w:rsidRDefault="007007E2" w:rsidP="007007E2">
      <w:pPr>
        <w:numPr>
          <w:ilvl w:val="1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222222"/>
          <w:sz w:val="25"/>
          <w:szCs w:val="25"/>
        </w:rPr>
      </w:pPr>
      <w:r w:rsidRPr="007007E2">
        <w:rPr>
          <w:rFonts w:ascii="Helvetica Neue" w:eastAsia="Times New Roman" w:hAnsi="Helvetica Neue" w:cs="Times New Roman"/>
          <w:b/>
          <w:bCs/>
          <w:color w:val="222222"/>
          <w:sz w:val="25"/>
          <w:szCs w:val="25"/>
        </w:rPr>
        <w:t>Paragraph 2 (Apartment) </w:t>
      </w: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t>– Clarifies the leased premises, provides options for owners to specify the unit/bedroom/floorplan, and defines the resident’s use and access.</w:t>
      </w:r>
    </w:p>
    <w:p w14:paraId="66F8726C" w14:textId="77777777" w:rsidR="007007E2" w:rsidRPr="007007E2" w:rsidRDefault="007007E2" w:rsidP="007007E2">
      <w:pPr>
        <w:numPr>
          <w:ilvl w:val="1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222222"/>
          <w:sz w:val="25"/>
          <w:szCs w:val="25"/>
        </w:rPr>
      </w:pPr>
      <w:r w:rsidRPr="007007E2">
        <w:rPr>
          <w:rFonts w:ascii="Helvetica Neue" w:eastAsia="Times New Roman" w:hAnsi="Helvetica Neue" w:cs="Times New Roman"/>
          <w:b/>
          <w:bCs/>
          <w:color w:val="222222"/>
          <w:sz w:val="25"/>
          <w:szCs w:val="25"/>
        </w:rPr>
        <w:t>Paragraph 3 (Term) </w:t>
      </w: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t>– Prohibits automatic renewals (where allowed by law).</w:t>
      </w:r>
    </w:p>
    <w:p w14:paraId="644A8727" w14:textId="77777777" w:rsidR="007007E2" w:rsidRPr="007007E2" w:rsidRDefault="007007E2" w:rsidP="007007E2">
      <w:pPr>
        <w:numPr>
          <w:ilvl w:val="1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222222"/>
          <w:sz w:val="25"/>
          <w:szCs w:val="25"/>
        </w:rPr>
      </w:pPr>
      <w:r w:rsidRPr="007007E2">
        <w:rPr>
          <w:rFonts w:ascii="Helvetica Neue" w:eastAsia="Times New Roman" w:hAnsi="Helvetica Neue" w:cs="Times New Roman"/>
          <w:b/>
          <w:bCs/>
          <w:color w:val="222222"/>
          <w:sz w:val="25"/>
          <w:szCs w:val="25"/>
        </w:rPr>
        <w:t>Paragraph 4 (Rent and Charges)</w:t>
      </w: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t> – Provides for a total sum due and specifies installments. The following subsections were added: payments, application of money received, utilities and services, late charges, ad valorem taxes/fees and charges – additional rent, and lease changes.</w:t>
      </w:r>
    </w:p>
    <w:p w14:paraId="1A2FCEEB" w14:textId="77777777" w:rsidR="007007E2" w:rsidRPr="007007E2" w:rsidRDefault="007007E2" w:rsidP="007007E2">
      <w:pPr>
        <w:numPr>
          <w:ilvl w:val="1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222222"/>
          <w:sz w:val="25"/>
          <w:szCs w:val="25"/>
        </w:rPr>
      </w:pPr>
      <w:r w:rsidRPr="007007E2">
        <w:rPr>
          <w:rFonts w:ascii="Helvetica Neue" w:eastAsia="Times New Roman" w:hAnsi="Helvetica Neue" w:cs="Times New Roman"/>
          <w:b/>
          <w:bCs/>
          <w:color w:val="222222"/>
          <w:sz w:val="25"/>
          <w:szCs w:val="25"/>
        </w:rPr>
        <w:t>Paragraph 6 (Guests) </w:t>
      </w: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t xml:space="preserve">– Defines “guests,” limits the total number of people allowed in the </w:t>
      </w:r>
      <w:proofErr w:type="gramStart"/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t>unit, and</w:t>
      </w:r>
      <w:proofErr w:type="gramEnd"/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t xml:space="preserve"> gives the owner the right to exclude certain persons.</w:t>
      </w:r>
    </w:p>
    <w:p w14:paraId="3721C87E" w14:textId="77777777" w:rsidR="007007E2" w:rsidRPr="007007E2" w:rsidRDefault="007007E2" w:rsidP="007007E2">
      <w:pPr>
        <w:numPr>
          <w:ilvl w:val="1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222222"/>
          <w:sz w:val="25"/>
          <w:szCs w:val="25"/>
        </w:rPr>
      </w:pPr>
      <w:r w:rsidRPr="007007E2">
        <w:rPr>
          <w:rFonts w:ascii="Helvetica Neue" w:eastAsia="Times New Roman" w:hAnsi="Helvetica Neue" w:cs="Times New Roman"/>
          <w:b/>
          <w:bCs/>
          <w:color w:val="222222"/>
          <w:sz w:val="25"/>
          <w:szCs w:val="25"/>
        </w:rPr>
        <w:t>Paragraph 12 (Community Policies or Rules)</w:t>
      </w: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t> – Enhanced conduct limitations and includes a photo/video release and provisions relating to attendance/enrollment verification.</w:t>
      </w:r>
    </w:p>
    <w:p w14:paraId="26154951" w14:textId="77777777" w:rsidR="007007E2" w:rsidRPr="007007E2" w:rsidRDefault="007007E2" w:rsidP="007007E2">
      <w:pPr>
        <w:numPr>
          <w:ilvl w:val="1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222222"/>
          <w:sz w:val="25"/>
          <w:szCs w:val="25"/>
        </w:rPr>
      </w:pPr>
      <w:r w:rsidRPr="007007E2">
        <w:rPr>
          <w:rFonts w:ascii="Helvetica Neue" w:eastAsia="Times New Roman" w:hAnsi="Helvetica Neue" w:cs="Times New Roman"/>
          <w:b/>
          <w:bCs/>
          <w:color w:val="222222"/>
          <w:sz w:val="25"/>
          <w:szCs w:val="25"/>
        </w:rPr>
        <w:t>Paragraph 14 (Parking) </w:t>
      </w: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t>– Updated parking provision to include owner’s right to regulate scooters and bicycles.</w:t>
      </w:r>
    </w:p>
    <w:p w14:paraId="19AA5D1A" w14:textId="77777777" w:rsidR="007007E2" w:rsidRPr="007007E2" w:rsidRDefault="007007E2" w:rsidP="007007E2">
      <w:pPr>
        <w:numPr>
          <w:ilvl w:val="1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222222"/>
          <w:sz w:val="25"/>
          <w:szCs w:val="25"/>
        </w:rPr>
      </w:pPr>
      <w:r w:rsidRPr="007007E2">
        <w:rPr>
          <w:rFonts w:ascii="Helvetica Neue" w:eastAsia="Times New Roman" w:hAnsi="Helvetica Neue" w:cs="Times New Roman"/>
          <w:b/>
          <w:bCs/>
          <w:color w:val="222222"/>
          <w:sz w:val="25"/>
          <w:szCs w:val="25"/>
        </w:rPr>
        <w:t>Paragraph 20 (Animals)</w:t>
      </w: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t> – Includes a representation by the resident that any requests they make are true, accurate, and in good faith.</w:t>
      </w:r>
    </w:p>
    <w:p w14:paraId="37C27C85" w14:textId="77777777" w:rsidR="007007E2" w:rsidRPr="007007E2" w:rsidRDefault="007007E2" w:rsidP="007007E2">
      <w:pPr>
        <w:numPr>
          <w:ilvl w:val="1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222222"/>
          <w:sz w:val="25"/>
          <w:szCs w:val="25"/>
        </w:rPr>
      </w:pPr>
      <w:r w:rsidRPr="007007E2">
        <w:rPr>
          <w:rFonts w:ascii="Helvetica Neue" w:eastAsia="Times New Roman" w:hAnsi="Helvetica Neue" w:cs="Times New Roman"/>
          <w:b/>
          <w:bCs/>
          <w:color w:val="222222"/>
          <w:sz w:val="25"/>
          <w:szCs w:val="25"/>
        </w:rPr>
        <w:t>Paragraph 23 (Subletting, Transfers, Relocation and Replacements) </w:t>
      </w: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t>– Authorizes transfers, relocations, and replacements of residents under certain circumstances. Prohibits renting, or offering to rent, a unit or bedroom.</w:t>
      </w:r>
    </w:p>
    <w:p w14:paraId="3B2FDE7F" w14:textId="77777777" w:rsidR="007007E2" w:rsidRPr="007007E2" w:rsidRDefault="007007E2" w:rsidP="007007E2">
      <w:pPr>
        <w:numPr>
          <w:ilvl w:val="1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222222"/>
          <w:sz w:val="25"/>
          <w:szCs w:val="25"/>
        </w:rPr>
      </w:pPr>
      <w:r w:rsidRPr="007007E2">
        <w:rPr>
          <w:rFonts w:ascii="Helvetica Neue" w:eastAsia="Times New Roman" w:hAnsi="Helvetica Neue" w:cs="Times New Roman"/>
          <w:b/>
          <w:bCs/>
          <w:color w:val="222222"/>
          <w:sz w:val="25"/>
          <w:szCs w:val="25"/>
        </w:rPr>
        <w:t>Paragraph 31 (Cancellation) </w:t>
      </w: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t>– Adds a provision allowing lease cancellation within 72 hours of lease execution.</w:t>
      </w:r>
    </w:p>
    <w:p w14:paraId="3677825B" w14:textId="77777777" w:rsidR="007007E2" w:rsidRPr="007007E2" w:rsidRDefault="007007E2" w:rsidP="007007E2">
      <w:pPr>
        <w:numPr>
          <w:ilvl w:val="1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222222"/>
          <w:sz w:val="25"/>
          <w:szCs w:val="25"/>
        </w:rPr>
      </w:pPr>
      <w:r w:rsidRPr="007007E2">
        <w:rPr>
          <w:rFonts w:ascii="Helvetica Neue" w:eastAsia="Times New Roman" w:hAnsi="Helvetica Neue" w:cs="Times New Roman"/>
          <w:b/>
          <w:bCs/>
          <w:color w:val="222222"/>
          <w:sz w:val="25"/>
          <w:szCs w:val="25"/>
        </w:rPr>
        <w:t>Removed paragraphs/subparagraphs from the Student Housing Lease:</w:t>
      </w:r>
    </w:p>
    <w:p w14:paraId="21D0BD32" w14:textId="77777777" w:rsidR="007007E2" w:rsidRPr="007007E2" w:rsidRDefault="007007E2" w:rsidP="007007E2">
      <w:pPr>
        <w:numPr>
          <w:ilvl w:val="2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222222"/>
          <w:sz w:val="25"/>
          <w:szCs w:val="25"/>
        </w:rPr>
      </w:pP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t>Co-Residents and Occupants paragraph</w:t>
      </w:r>
    </w:p>
    <w:p w14:paraId="5FF6DC5D" w14:textId="77777777" w:rsidR="007007E2" w:rsidRPr="007007E2" w:rsidRDefault="007007E2" w:rsidP="007007E2">
      <w:pPr>
        <w:numPr>
          <w:ilvl w:val="2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222222"/>
          <w:sz w:val="25"/>
          <w:szCs w:val="25"/>
        </w:rPr>
      </w:pP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t>Security Deposit Deductions subparagraph </w:t>
      </w:r>
    </w:p>
    <w:p w14:paraId="1C70B447" w14:textId="77777777" w:rsidR="007007E2" w:rsidRPr="007007E2" w:rsidRDefault="007007E2" w:rsidP="007007E2">
      <w:pPr>
        <w:numPr>
          <w:ilvl w:val="2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222222"/>
          <w:sz w:val="25"/>
          <w:szCs w:val="25"/>
        </w:rPr>
      </w:pP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t>Individual Liability for Late Charges and Damages paragraph </w:t>
      </w:r>
    </w:p>
    <w:p w14:paraId="2AC0CF20" w14:textId="77777777" w:rsidR="007007E2" w:rsidRPr="007007E2" w:rsidRDefault="007007E2" w:rsidP="007007E2">
      <w:pPr>
        <w:numPr>
          <w:ilvl w:val="2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222222"/>
          <w:sz w:val="25"/>
          <w:szCs w:val="25"/>
        </w:rPr>
      </w:pP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lastRenderedPageBreak/>
        <w:t>Keys paragraph – now becomes Access devices </w:t>
      </w:r>
    </w:p>
    <w:p w14:paraId="41D6D578" w14:textId="77777777" w:rsidR="007007E2" w:rsidRPr="007007E2" w:rsidRDefault="007007E2" w:rsidP="007007E2">
      <w:pPr>
        <w:numPr>
          <w:ilvl w:val="2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222222"/>
          <w:sz w:val="25"/>
          <w:szCs w:val="25"/>
        </w:rPr>
      </w:pP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t>Furnishing paragraph </w:t>
      </w:r>
    </w:p>
    <w:p w14:paraId="69C82413" w14:textId="77777777" w:rsidR="007007E2" w:rsidRPr="007007E2" w:rsidRDefault="007007E2" w:rsidP="007007E2">
      <w:pPr>
        <w:numPr>
          <w:ilvl w:val="2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222222"/>
          <w:sz w:val="25"/>
          <w:szCs w:val="25"/>
        </w:rPr>
      </w:pP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t>Allocations and Exclusive Use Areas paragraph </w:t>
      </w:r>
    </w:p>
    <w:p w14:paraId="3E1CD1AE" w14:textId="77777777" w:rsidR="007007E2" w:rsidRPr="007007E2" w:rsidRDefault="007007E2" w:rsidP="007007E2">
      <w:pPr>
        <w:numPr>
          <w:ilvl w:val="2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222222"/>
          <w:sz w:val="25"/>
          <w:szCs w:val="25"/>
        </w:rPr>
      </w:pP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t>Landlord Remedies subparagraph </w:t>
      </w:r>
    </w:p>
    <w:p w14:paraId="72A4E5D0" w14:textId="77777777" w:rsidR="007007E2" w:rsidRPr="007007E2" w:rsidRDefault="007007E2" w:rsidP="007007E2">
      <w:pPr>
        <w:numPr>
          <w:ilvl w:val="2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222222"/>
          <w:sz w:val="25"/>
          <w:szCs w:val="25"/>
        </w:rPr>
      </w:pP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t>Contacting You paragraph </w:t>
      </w:r>
    </w:p>
    <w:p w14:paraId="3B114217" w14:textId="77777777" w:rsidR="007007E2" w:rsidRPr="007007E2" w:rsidRDefault="007007E2" w:rsidP="007007E2">
      <w:pPr>
        <w:numPr>
          <w:ilvl w:val="2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222222"/>
          <w:sz w:val="25"/>
          <w:szCs w:val="25"/>
        </w:rPr>
      </w:pP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t>Obligation to Vacate paragraph </w:t>
      </w:r>
    </w:p>
    <w:p w14:paraId="20214AFE" w14:textId="77777777" w:rsidR="007007E2" w:rsidRPr="007007E2" w:rsidRDefault="007007E2" w:rsidP="007007E2">
      <w:pPr>
        <w:numPr>
          <w:ilvl w:val="2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222222"/>
          <w:sz w:val="25"/>
          <w:szCs w:val="25"/>
        </w:rPr>
      </w:pP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t>Move Out Notice paragraph (in states where MTM is not legally required)</w:t>
      </w: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br/>
      </w: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br/>
        <w:t> </w:t>
      </w:r>
    </w:p>
    <w:p w14:paraId="3846B58F" w14:textId="77777777" w:rsidR="007007E2" w:rsidRPr="007007E2" w:rsidRDefault="007007E2" w:rsidP="007007E2">
      <w:pPr>
        <w:rPr>
          <w:rFonts w:ascii="Times New Roman" w:eastAsia="Times New Roman" w:hAnsi="Times New Roman" w:cs="Times New Roman"/>
        </w:rPr>
      </w:pPr>
      <w:r w:rsidRPr="007007E2">
        <w:rPr>
          <w:rFonts w:ascii="Helvetica Neue" w:eastAsia="Times New Roman" w:hAnsi="Helvetica Neue" w:cs="Times New Roman"/>
          <w:b/>
          <w:bCs/>
          <w:color w:val="222222"/>
          <w:sz w:val="25"/>
          <w:szCs w:val="25"/>
        </w:rPr>
        <w:t>How will the users experience within the NAA Click &amp; Lease be affected?</w:t>
      </w: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br/>
      </w: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  <w:shd w:val="clear" w:color="auto" w:fill="FFFFFF"/>
        </w:rPr>
        <w:t>The following changes will be implemented within the NAA Click &amp; Lease Program in correlation to the form revisions. </w:t>
      </w:r>
    </w:p>
    <w:p w14:paraId="0BB00D23" w14:textId="77777777" w:rsidR="007007E2" w:rsidRPr="007007E2" w:rsidRDefault="007007E2" w:rsidP="007007E2">
      <w:pPr>
        <w:numPr>
          <w:ilvl w:val="0"/>
          <w:numId w:val="2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222222"/>
          <w:sz w:val="25"/>
          <w:szCs w:val="25"/>
        </w:rPr>
      </w:pP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t>Multiple new fields will be added and removed from the Student Lease section of the lease editor.</w:t>
      </w:r>
    </w:p>
    <w:p w14:paraId="7BF4B78D" w14:textId="77777777" w:rsidR="007007E2" w:rsidRPr="007007E2" w:rsidRDefault="007007E2" w:rsidP="007007E2">
      <w:pPr>
        <w:numPr>
          <w:ilvl w:val="0"/>
          <w:numId w:val="2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222222"/>
          <w:sz w:val="25"/>
          <w:szCs w:val="25"/>
        </w:rPr>
      </w:pPr>
      <w:r w:rsidRPr="007007E2">
        <w:rPr>
          <w:rFonts w:ascii="Helvetica Neue" w:eastAsia="Times New Roman" w:hAnsi="Helvetica Neue" w:cs="Times New Roman"/>
          <w:color w:val="222222"/>
          <w:sz w:val="25"/>
          <w:szCs w:val="25"/>
        </w:rPr>
        <w:t>Multiple new fields will be added to the Other Charges section of the lease editor.</w:t>
      </w:r>
    </w:p>
    <w:p w14:paraId="1679276C" w14:textId="77777777" w:rsidR="00755C0D" w:rsidRDefault="00755C0D"/>
    <w:sectPr w:rsidR="00755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6057"/>
    <w:multiLevelType w:val="multilevel"/>
    <w:tmpl w:val="5270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C1847"/>
    <w:multiLevelType w:val="multilevel"/>
    <w:tmpl w:val="2A543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E2"/>
    <w:rsid w:val="007007E2"/>
    <w:rsid w:val="0075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BCCAD"/>
  <w15:chartTrackingRefBased/>
  <w15:docId w15:val="{F34EB853-0574-BA40-8147-D9C0522A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007E2"/>
  </w:style>
  <w:style w:type="character" w:styleId="Strong">
    <w:name w:val="Strong"/>
    <w:basedOn w:val="DefaultParagraphFont"/>
    <w:uiPriority w:val="22"/>
    <w:qFormat/>
    <w:rsid w:val="00700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Pederson</dc:creator>
  <cp:keywords/>
  <dc:description/>
  <cp:lastModifiedBy>Rhonda Pederson</cp:lastModifiedBy>
  <cp:revision>1</cp:revision>
  <dcterms:created xsi:type="dcterms:W3CDTF">2021-07-15T19:30:00Z</dcterms:created>
  <dcterms:modified xsi:type="dcterms:W3CDTF">2021-07-15T19:30:00Z</dcterms:modified>
</cp:coreProperties>
</file>