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600"/>
        <w:jc w:val="left"/>
      </w:pPr>
      <w:r>
        <w:rPr>
          <w:rFonts w:ascii="Cambria" w:cs="Cambria" w:eastAsia="Cambria" w:hAnsi="Cambria"/>
          <w:b/>
          <w:bCs/>
          <w:color w:val="C8102E"/>
          <w:sz w:val="22"/>
          <w:szCs w:val="22"/>
        </w:rPr>
        <w:t xml:space="preserve">PROFESSIONAL DEVELOPMENT SERIES</w:t>
      </w:r>
    </w:p>
    <w:p>
      <w:pPr>
        <w:spacing w:after="0" w:before="120"/>
      </w:pPr>
      <w:r>
        <w:rPr>
          <w:rFonts w:ascii="Cambria" w:cs="Cambria" w:eastAsia="Cambria" w:hAnsi="Cambria"/>
          <w:b/>
          <w:bCs/>
          <w:color w:val="1A1A1A"/>
          <w:sz w:val="56"/>
          <w:szCs w:val="56"/>
        </w:rPr>
        <w:t xml:space="preserve">When the Weight Shows Up</w:t>
      </w:r>
    </w:p>
    <w:p>
      <w:pPr>
        <w:spacing w:after="0" w:before="40"/>
      </w:pPr>
      <w:r>
        <w:rPr>
          <w:rFonts w:ascii="Cambria" w:cs="Cambria" w:eastAsia="Cambria" w:hAnsi="Cambria"/>
          <w:color w:val="404040"/>
          <w:sz w:val="30"/>
          <w:szCs w:val="30"/>
        </w:rPr>
        <w:t xml:space="preserve">Responding to Crisis &amp; Mental Health on Your Property — and Protecting Your Own</w:t>
      </w:r>
    </w:p>
    <w:p>
      <w:pPr>
        <w:spacing w:after="0" w:before="360"/>
      </w:pPr>
      <w:r>
        <w:rPr>
          <w:rFonts w:ascii="Calibri" w:cs="Calibri" w:eastAsia="Calibri" w:hAnsi="Calibri"/>
          <w:b/>
          <w:bCs/>
          <w:color w:val="1A1A1A"/>
          <w:sz w:val="26"/>
          <w:szCs w:val="26"/>
        </w:rPr>
        <w:t xml:space="preserve">Facilitator Course Outline</w:t>
      </w:r>
    </w:p>
    <w:p>
      <w:pPr>
        <w:spacing w:after="0" w:before="40"/>
      </w:pPr>
      <w:r>
        <w:rPr>
          <w:rFonts w:ascii="Calibri" w:cs="Calibri" w:eastAsia="Calibri" w:hAnsi="Calibri"/>
          <w:color w:val="7F7F7F"/>
          <w:sz w:val="22"/>
          <w:szCs w:val="22"/>
        </w:rPr>
        <w:t xml:space="preserve">Instructor-Led Training • Multifamily Onsite Teams</w:t>
      </w:r>
    </w:p>
    <w:p>
      <w:pPr>
        <w:pBdr>
          <w:top w:val="single" w:color="C8102E" w:sz="18"/>
        </w:pBdr>
        <w:spacing w:before="520"/>
      </w:pPr>
      <w:r>
        <w:t xml:space="preserve"/>
      </w:r>
    </w:p>
    <w:p>
      <w:pPr>
        <w:spacing w:before="160"/>
      </w:pPr>
      <w:r>
        <w:rPr>
          <w:b/>
          <w:bCs/>
          <w:sz w:val="20"/>
          <w:szCs w:val="20"/>
        </w:rPr>
        <w:t xml:space="preserve">Audience:  </w:t>
      </w:r>
      <w:r>
        <w:rPr>
          <w:sz w:val="20"/>
          <w:szCs w:val="20"/>
        </w:rPr>
        <w:t xml:space="preserve">Maintenance Technicians • Leasing Professionals • Assistant Property Managers • Property Managers • Regional Managers</w:t>
      </w:r>
    </w:p>
    <w:p>
      <w:pPr>
        <w:spacing w:before="60"/>
      </w:pPr>
      <w:r>
        <w:rPr>
          <w:b/>
          <w:bCs/>
          <w:sz w:val="20"/>
          <w:szCs w:val="20"/>
        </w:rPr>
        <w:t xml:space="preserve">Format:  </w:t>
      </w:r>
      <w:r>
        <w:rPr>
          <w:sz w:val="20"/>
          <w:szCs w:val="20"/>
        </w:rPr>
        <w:t xml:space="preserve">Modular — 60-minute, 90-minute, half-day, or multi-session</w:t>
      </w:r>
    </w:p>
    <w:p>
      <w:pPr>
        <w:spacing w:before="60"/>
      </w:pPr>
      <w:r>
        <w:rPr>
          <w:b/>
          <w:bCs/>
          <w:sz w:val="20"/>
          <w:szCs w:val="20"/>
        </w:rPr>
        <w:t xml:space="preserve">Version:  </w:t>
      </w:r>
      <w:r>
        <w:rPr>
          <w:sz w:val="20"/>
          <w:szCs w:val="20"/>
        </w:rPr>
        <w:t xml:space="preserve">Draft 1.0  •  Prepared for internal review and customization</w:t>
      </w:r>
    </w:p>
    <w:p>
      <w:pPr>
        <w:spacing w:before="520"/>
      </w:pPr>
      <w:r>
        <w:rPr>
          <w:i/>
          <w:iCs/>
          <w:color w:val="404040"/>
          <w:sz w:val="18"/>
          <w:szCs w:val="18"/>
        </w:rPr>
        <w:t xml:space="preserve">⚠  Not a substitute for clinical care or legal counsel. This course trains non-clinical property staff to respond safely, connect residents to help, and stay within their role. Verify all Fair Housing, crisis, and emergency-response guidance against current HUD/FHEO rules and your company policy before delivery in any CE or certification context.</w:t>
      </w:r>
    </w:p>
    <w:p>
      <w:r>
        <w:br w:type="page"/>
      </w:r>
    </w:p>
    <w:p>
      <w:pPr>
        <w:pStyle w:val="Heading1"/>
      </w:pPr>
      <w: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Course Overview</w:t>
      </w:r>
    </w:p>
    <w:p>
      <w:pPr>
        <w:spacing w:after="120" w:line="276"/>
      </w:pPr>
      <w:r>
        <w:t xml:space="preserve">This course prepares onsite multifamily professionals for two connected realities: the mental-health and crisis situations they encounter with residents, prospects, and coworkers, and the cumulative toll that this emotionally demanding work takes on the employees themselves. </w:t>
      </w:r>
      <w:r>
        <w:rPr>
          <w:b/>
          <w:bCs/>
        </w:rPr>
        <w:t xml:space="preserve">Part A</w:t>
      </w:r>
      <w:r>
        <w:t xml:space="preserve"> builds skill and confidence for the moment a crisis surfaces on the property. </w:t>
      </w:r>
      <w:r>
        <w:rPr>
          <w:b/>
          <w:bCs/>
        </w:rPr>
        <w:t xml:space="preserve">Part B</w:t>
      </w:r>
      <w:r>
        <w:t xml:space="preserve"> turns the lens inward — recognizing burnout, compassion fatigue, and secondary trauma, and building personal and team resilience so people can stay well and stay in the industry.</w:t>
      </w:r>
    </w:p>
    <w:p>
      <w:pPr>
        <w:spacing w:after="120" w:line="276"/>
      </w:pPr>
      <w:r>
        <w:rPr>
          <w:b/>
          <w:bCs/>
        </w:rPr>
        <w:t xml:space="preserve">The through-line is role clarity: </w:t>
      </w:r>
      <w:r>
        <w:t xml:space="preserve">onsite staff are connectors, not clinicians.</w:t>
      </w:r>
      <w:r>
        <w:t xml:space="preserve"> The goal is never to diagnose or treat — it is to notice, respond safely, connect the person to the right help, document defensibly, and protect one’s own wellbeing in the process. Fair Housing obligations are woven through every module, because mental illness is a protected disability and the wrong response can create both human harm and legal exposure.</w:t>
      </w:r>
    </w:p>
    <w:p>
      <w:pPr>
        <w:spacing w:after="80"/>
      </w:pPr>
      <w:r>
        <w:t xml:space="preserve"/>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2200"/>
        <w:gridCol w:w="7160"/>
      </w:tblGrid>
      <w:tr>
        <w:trPr>
          <w:tblHeader/>
        </w:trPr>
        <w:tc>
          <w:tcPr>
            <w:tcW w:type="dxa" w:w="22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Field</w:t>
            </w:r>
          </w:p>
        </w:tc>
        <w:tc>
          <w:tcPr>
            <w:tcW w:type="dxa" w:w="716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Detail</w:t>
            </w:r>
          </w:p>
        </w:tc>
      </w:tr>
      <w:tr>
        <w:tc>
          <w:tcPr>
            <w:tcW w:type="dxa" w:w="22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Course title</w:t>
            </w:r>
          </w:p>
        </w:tc>
        <w:tc>
          <w:tcPr>
            <w:tcW w:type="dxa" w:w="71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When the Weight Shows Up: Responding to Crisis &amp; Mental Health on Your Property — and Protecting Your Own</w:t>
            </w:r>
          </w:p>
        </w:tc>
      </w:tr>
      <w:tr>
        <w:tc>
          <w:tcPr>
            <w:tcW w:type="dxa" w:w="22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Primary audience</w:t>
            </w:r>
          </w:p>
        </w:tc>
        <w:tc>
          <w:tcPr>
            <w:tcW w:type="dxa" w:w="71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All onsite roles. Parts A–B are for everyone; supervisor content (Module 9) is tiered for APMs, PMs, and RMs.</w:t>
            </w:r>
          </w:p>
        </w:tc>
      </w:tr>
      <w:tr>
        <w:tc>
          <w:tcPr>
            <w:tcW w:type="dxa" w:w="22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Delivery</w:t>
            </w:r>
          </w:p>
        </w:tc>
        <w:tc>
          <w:tcPr>
            <w:tcW w:type="dxa" w:w="71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Instructor-led, in person or virtual. Discussion, scenario practice, role-play, and self-assessment.</w:t>
            </w:r>
          </w:p>
        </w:tc>
      </w:tr>
      <w:tr>
        <w:tc>
          <w:tcPr>
            <w:tcW w:type="dxa" w:w="22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Length options</w:t>
            </w:r>
          </w:p>
        </w:tc>
        <w:tc>
          <w:tcPr>
            <w:tcW w:type="dxa" w:w="71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60 min (Essentials) • 90 min (Standard) • 3.5 hr (Half-Day) • Multi-session series. See timing tables.</w:t>
            </w:r>
          </w:p>
        </w:tc>
      </w:tr>
      <w:tr>
        <w:tc>
          <w:tcPr>
            <w:tcW w:type="dxa" w:w="22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Prerequisites</w:t>
            </w:r>
          </w:p>
        </w:tc>
        <w:tc>
          <w:tcPr>
            <w:tcW w:type="dxa" w:w="71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None required. De-escalation and Fair Housing basics are recommended companions.</w:t>
            </w:r>
          </w:p>
        </w:tc>
      </w:tr>
      <w:tr>
        <w:tc>
          <w:tcPr>
            <w:tcW w:type="dxa" w:w="22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Group size</w:t>
            </w:r>
          </w:p>
        </w:tc>
        <w:tc>
          <w:tcPr>
            <w:tcW w:type="dxa" w:w="71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6–30 ideal for scenario work; up to 60 lecture-style with breakout adaptation.</w:t>
            </w:r>
          </w:p>
        </w:tc>
      </w:tr>
      <w:tr>
        <w:tc>
          <w:tcPr>
            <w:tcW w:type="dxa" w:w="22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Materials</w:t>
            </w:r>
          </w:p>
        </w:tc>
        <w:tc>
          <w:tcPr>
            <w:tcW w:type="dxa" w:w="71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Slide deck, participant workbook, scenario cards, quick-reference tools, crisis-contact card (localized), self-assessment handouts.</w:t>
            </w:r>
          </w:p>
        </w:tc>
      </w:tr>
      <w:tr>
        <w:tc>
          <w:tcPr>
            <w:tcW w:type="dxa" w:w="22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Room setup</w:t>
            </w:r>
          </w:p>
        </w:tc>
        <w:tc>
          <w:tcPr>
            <w:tcW w:type="dxa" w:w="71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Rounds or pods of 4–6 for role-play; A/V for video clips; wall space for the “Where do we meet this?” mapping.</w:t>
            </w:r>
          </w:p>
        </w:tc>
      </w:tr>
      <w:tr>
        <w:tc>
          <w:tcPr>
            <w:tcW w:type="dxa" w:w="22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Assessment</w:t>
            </w:r>
          </w:p>
        </w:tc>
        <w:tc>
          <w:tcPr>
            <w:tcW w:type="dxa" w:w="71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Knowledge check (Appendix B) plus scenario debriefs. Completion certificate optional.</w:t>
            </w:r>
          </w:p>
        </w:tc>
      </w:tr>
      <w:tr>
        <w:tc>
          <w:tcPr>
            <w:tcW w:type="dxa" w:w="22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CE / certification</w:t>
            </w:r>
          </w:p>
        </w:tc>
        <w:tc>
          <w:tcPr>
            <w:tcW w:type="dxa" w:w="71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 If offered for CE or certification credit, confirm current HUD/FHEO, state, and provider requirements first. See references caveat.</w:t>
            </w:r>
          </w:p>
        </w:tc>
      </w:tr>
    </w:tbl>
    <w:p>
      <w:pPr>
        <w:pStyle w:val="Heading1"/>
      </w:pPr>
      <w:r>
        <w:t xml:space="preserve">Learning Objectives</w:t>
      </w:r>
    </w:p>
    <w:p>
      <w:pPr>
        <w:spacing w:after="120" w:line="276"/>
      </w:pPr>
      <w:r>
        <w:t xml:space="preserve">By the end of this course, participants will be able to:</w:t>
      </w:r>
    </w:p>
    <w:p>
      <w:pPr>
        <w:pStyle w:val="ListParagraph"/>
        <w:numPr>
          <w:ilvl w:val="0"/>
          <w:numId w:val="2"/>
        </w:numPr>
        <w:spacing w:after="50" w:line="270"/>
      </w:pPr>
      <w:r>
        <w:t xml:space="preserve">Describe how mental-health challenges show up across multifamily roles and articulate the line between an employee’s role and a clinician’s role.</w:t>
      </w:r>
    </w:p>
    <w:p>
      <w:pPr>
        <w:pStyle w:val="ListParagraph"/>
        <w:numPr>
          <w:ilvl w:val="0"/>
          <w:numId w:val="2"/>
        </w:numPr>
        <w:spacing w:after="50" w:line="270"/>
      </w:pPr>
      <w:r>
        <w:t xml:space="preserve">⚠ Apply Fair Housing principles when a resident’s behavior, request, or disability intersects with lease enforcement, reasonable accommodation, assistance animals, and confidentiality.</w:t>
      </w:r>
    </w:p>
    <w:p>
      <w:pPr>
        <w:pStyle w:val="ListParagraph"/>
        <w:numPr>
          <w:ilvl w:val="0"/>
          <w:numId w:val="2"/>
        </w:numPr>
        <w:spacing w:after="50" w:line="270"/>
      </w:pPr>
      <w:r>
        <w:t xml:space="preserve">Recognize observable warning signs along the stress-to-crisis continuum — without labeling or diagnosing.</w:t>
      </w:r>
    </w:p>
    <w:p>
      <w:pPr>
        <w:pStyle w:val="ListParagraph"/>
        <w:numPr>
          <w:ilvl w:val="0"/>
          <w:numId w:val="2"/>
        </w:numPr>
        <w:spacing w:after="50" w:line="270"/>
      </w:pPr>
      <w:r>
        <w:t xml:space="preserve">Use calm-presence de-escalation and the QPR model (Question, Persuade, Refer) to respond to a resident in distress.</w:t>
      </w:r>
    </w:p>
    <w:p>
      <w:pPr>
        <w:pStyle w:val="ListParagraph"/>
        <w:numPr>
          <w:ilvl w:val="0"/>
          <w:numId w:val="2"/>
        </w:numPr>
        <w:spacing w:after="50" w:line="270"/>
      </w:pPr>
      <w:r>
        <w:t xml:space="preserve">Choose the right resource and urgency level for a situation — 911, 988, non-emergency line, management, or EAP.</w:t>
      </w:r>
    </w:p>
    <w:p>
      <w:pPr>
        <w:pStyle w:val="ListParagraph"/>
        <w:numPr>
          <w:ilvl w:val="0"/>
          <w:numId w:val="2"/>
        </w:numPr>
        <w:spacing w:after="50" w:line="270"/>
      </w:pPr>
      <w:r>
        <w:t xml:space="preserve">⚠ Document incidents in objective, Fair-Housing-safe language that records facts and behavior, not diagnoses or assumptions.</w:t>
      </w:r>
    </w:p>
    <w:p>
      <w:pPr>
        <w:pStyle w:val="ListParagraph"/>
        <w:numPr>
          <w:ilvl w:val="0"/>
          <w:numId w:val="2"/>
        </w:numPr>
        <w:spacing w:after="50" w:line="270"/>
      </w:pPr>
      <w:r>
        <w:t xml:space="preserve">Coordinate appropriate follow-up, notification, and reconnection to services after a crisis, and take part in a healthy team debrief.</w:t>
      </w:r>
    </w:p>
    <w:p>
      <w:pPr>
        <w:pStyle w:val="ListParagraph"/>
        <w:numPr>
          <w:ilvl w:val="0"/>
          <w:numId w:val="2"/>
        </w:numPr>
        <w:spacing w:after="50" w:line="270"/>
      </w:pPr>
      <w:r>
        <w:t xml:space="preserve">Define burnout, compassion fatigue, and secondary/vicarious traumatic stress, and identify their own early warning signs.</w:t>
      </w:r>
    </w:p>
    <w:p>
      <w:pPr>
        <w:pStyle w:val="ListParagraph"/>
        <w:numPr>
          <w:ilvl w:val="0"/>
          <w:numId w:val="2"/>
        </w:numPr>
        <w:spacing w:after="50" w:line="270"/>
      </w:pPr>
      <w:r>
        <w:t xml:space="preserve">Build a personal resilience plan using boundaries, recovery practices, and support resources.</w:t>
      </w:r>
    </w:p>
    <w:p>
      <w:pPr>
        <w:pStyle w:val="ListParagraph"/>
        <w:numPr>
          <w:ilvl w:val="0"/>
          <w:numId w:val="2"/>
        </w:numPr>
        <w:spacing w:after="50" w:line="270"/>
      </w:pPr>
      <w:r>
        <w:t xml:space="preserve">(Supervisors) Foster a psychologically safe, resilient team through workload management, post-incident support, recognition, and modeling healthy boundaries.</w:t>
      </w:r>
    </w:p>
    <w:p>
      <w:pPr>
        <w:pStyle w:val="Heading1"/>
      </w:pPr>
      <w:r>
        <w:t xml:space="preserve">Format-Flex Timing</w:t>
      </w:r>
    </w:p>
    <w:p>
      <w:pPr>
        <w:spacing w:after="120" w:line="276"/>
      </w:pPr>
      <w:r>
        <w:t xml:space="preserve">The course is modular. Build the version that fits your window; every block below maps to a module in the body. Times include transitions but not breaks unless noted.</w:t>
      </w:r>
    </w:p>
    <w:p>
      <w:pPr>
        <w:pStyle w:val="Heading3"/>
      </w:pPr>
      <w:r>
        <w:t xml:space="preserve">Option 1 — 60-Minute Essentials</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900"/>
        <w:gridCol w:w="5460"/>
        <w:gridCol w:w="3000"/>
      </w:tblGrid>
      <w:tr>
        <w:trPr>
          <w:tblHeader/>
        </w:trPr>
        <w:tc>
          <w:tcPr>
            <w:tcW w:type="dxa" w:w="9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Min</w:t>
            </w:r>
          </w:p>
        </w:tc>
        <w:tc>
          <w:tcPr>
            <w:tcW w:type="dxa" w:w="546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Block</w:t>
            </w:r>
          </w:p>
        </w:tc>
        <w:tc>
          <w:tcPr>
            <w:tcW w:type="dxa" w:w="30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Modules</w:t>
            </w:r>
          </w:p>
        </w:tc>
      </w:tr>
      <w:tr>
        <w:tc>
          <w:tcPr>
            <w:tcW w:type="dxa" w:w="9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5</w:t>
            </w:r>
          </w:p>
        </w:tc>
        <w:tc>
          <w:tcPr>
            <w:tcW w:type="dxa" w:w="54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Welcome, framing, ground rules</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w:t>
            </w:r>
          </w:p>
        </w:tc>
      </w:tr>
      <w:tr>
        <w:tc>
          <w:tcPr>
            <w:tcW w:type="dxa" w:w="9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12</w:t>
            </w:r>
          </w:p>
        </w:tc>
        <w:tc>
          <w:tcPr>
            <w:tcW w:type="dxa" w:w="54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Your role vs. clinician + Fair Housing essentials ⚠</w:t>
            </w:r>
          </w:p>
        </w:tc>
        <w:tc>
          <w:tcPr>
            <w:tcW w:type="dxa" w:w="3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1–2</w:t>
            </w:r>
          </w:p>
        </w:tc>
      </w:tr>
      <w:tr>
        <w:tc>
          <w:tcPr>
            <w:tcW w:type="dxa" w:w="9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8</w:t>
            </w:r>
          </w:p>
        </w:tc>
        <w:tc>
          <w:tcPr>
            <w:tcW w:type="dxa" w:w="54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Reading the signs</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3</w:t>
            </w:r>
          </w:p>
        </w:tc>
      </w:tr>
      <w:tr>
        <w:tc>
          <w:tcPr>
            <w:tcW w:type="dxa" w:w="9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15</w:t>
            </w:r>
          </w:p>
        </w:tc>
        <w:tc>
          <w:tcPr>
            <w:tcW w:type="dxa" w:w="54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Responding: calm presence, QPR, who to call</w:t>
            </w:r>
          </w:p>
        </w:tc>
        <w:tc>
          <w:tcPr>
            <w:tcW w:type="dxa" w:w="3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4</w:t>
            </w:r>
          </w:p>
        </w:tc>
      </w:tr>
      <w:tr>
        <w:tc>
          <w:tcPr>
            <w:tcW w:type="dxa" w:w="9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12</w:t>
            </w:r>
          </w:p>
        </w:tc>
        <w:tc>
          <w:tcPr>
            <w:tcW w:type="dxa" w:w="54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Burnout quick-check + one resilience tool</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7–8</w:t>
            </w:r>
          </w:p>
        </w:tc>
      </w:tr>
      <w:tr>
        <w:tc>
          <w:tcPr>
            <w:tcW w:type="dxa" w:w="9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8</w:t>
            </w:r>
          </w:p>
        </w:tc>
        <w:tc>
          <w:tcPr>
            <w:tcW w:type="dxa" w:w="54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One action step + resource card</w:t>
            </w:r>
          </w:p>
        </w:tc>
        <w:tc>
          <w:tcPr>
            <w:tcW w:type="dxa" w:w="3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10</w:t>
            </w:r>
          </w:p>
        </w:tc>
      </w:tr>
    </w:tbl>
    <w:p>
      <w:pPr>
        <w:pStyle w:val="Heading3"/>
      </w:pPr>
      <w:r>
        <w:t xml:space="preserve">Option 2 — 90-Minute Standard</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900"/>
        <w:gridCol w:w="5460"/>
        <w:gridCol w:w="3000"/>
      </w:tblGrid>
      <w:tr>
        <w:trPr>
          <w:tblHeader/>
        </w:trPr>
        <w:tc>
          <w:tcPr>
            <w:tcW w:type="dxa" w:w="9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Min</w:t>
            </w:r>
          </w:p>
        </w:tc>
        <w:tc>
          <w:tcPr>
            <w:tcW w:type="dxa" w:w="546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Block</w:t>
            </w:r>
          </w:p>
        </w:tc>
        <w:tc>
          <w:tcPr>
            <w:tcW w:type="dxa" w:w="30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Modules</w:t>
            </w:r>
          </w:p>
        </w:tc>
      </w:tr>
      <w:tr>
        <w:tc>
          <w:tcPr>
            <w:tcW w:type="dxa" w:w="9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8</w:t>
            </w:r>
          </w:p>
        </w:tc>
        <w:tc>
          <w:tcPr>
            <w:tcW w:type="dxa" w:w="54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Welcome, framing, stigma reset</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w:t>
            </w:r>
          </w:p>
        </w:tc>
      </w:tr>
      <w:tr>
        <w:tc>
          <w:tcPr>
            <w:tcW w:type="dxa" w:w="9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15</w:t>
            </w:r>
          </w:p>
        </w:tc>
        <w:tc>
          <w:tcPr>
            <w:tcW w:type="dxa" w:w="54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Fair Housing foundations ⚠</w:t>
            </w:r>
          </w:p>
        </w:tc>
        <w:tc>
          <w:tcPr>
            <w:tcW w:type="dxa" w:w="3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2</w:t>
            </w:r>
          </w:p>
        </w:tc>
      </w:tr>
      <w:tr>
        <w:tc>
          <w:tcPr>
            <w:tcW w:type="dxa" w:w="9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10</w:t>
            </w:r>
          </w:p>
        </w:tc>
        <w:tc>
          <w:tcPr>
            <w:tcW w:type="dxa" w:w="54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Reading the signs</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3</w:t>
            </w:r>
          </w:p>
        </w:tc>
      </w:tr>
      <w:tr>
        <w:tc>
          <w:tcPr>
            <w:tcW w:type="dxa" w:w="9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20</w:t>
            </w:r>
          </w:p>
        </w:tc>
        <w:tc>
          <w:tcPr>
            <w:tcW w:type="dxa" w:w="54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Responding in the moment + short role-play</w:t>
            </w:r>
          </w:p>
        </w:tc>
        <w:tc>
          <w:tcPr>
            <w:tcW w:type="dxa" w:w="3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4</w:t>
            </w:r>
          </w:p>
        </w:tc>
      </w:tr>
      <w:tr>
        <w:tc>
          <w:tcPr>
            <w:tcW w:type="dxa" w:w="9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12</w:t>
            </w:r>
          </w:p>
        </w:tc>
        <w:tc>
          <w:tcPr>
            <w:tcW w:type="dxa" w:w="54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One high-stakes scenario, debriefed</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5</w:t>
            </w:r>
          </w:p>
        </w:tc>
      </w:tr>
      <w:tr>
        <w:tc>
          <w:tcPr>
            <w:tcW w:type="dxa" w:w="9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8</w:t>
            </w:r>
          </w:p>
        </w:tc>
        <w:tc>
          <w:tcPr>
            <w:tcW w:type="dxa" w:w="54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Documentation &amp; follow-up basics ⚠</w:t>
            </w:r>
          </w:p>
        </w:tc>
        <w:tc>
          <w:tcPr>
            <w:tcW w:type="dxa" w:w="3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6</w:t>
            </w:r>
          </w:p>
        </w:tc>
      </w:tr>
      <w:tr>
        <w:tc>
          <w:tcPr>
            <w:tcW w:type="dxa" w:w="9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12</w:t>
            </w:r>
          </w:p>
        </w:tc>
        <w:tc>
          <w:tcPr>
            <w:tcW w:type="dxa" w:w="54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Burnout &amp; vicarious trauma + self-assessment</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7</w:t>
            </w:r>
          </w:p>
        </w:tc>
      </w:tr>
      <w:tr>
        <w:tc>
          <w:tcPr>
            <w:tcW w:type="dxa" w:w="9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5</w:t>
            </w:r>
          </w:p>
        </w:tc>
        <w:tc>
          <w:tcPr>
            <w:tcW w:type="dxa" w:w="54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Resilience tool + action step</w:t>
            </w:r>
          </w:p>
        </w:tc>
        <w:tc>
          <w:tcPr>
            <w:tcW w:type="dxa" w:w="3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8,10</w:t>
            </w:r>
          </w:p>
        </w:tc>
      </w:tr>
    </w:tbl>
    <w:p>
      <w:pPr>
        <w:pStyle w:val="Heading3"/>
      </w:pPr>
      <w:r>
        <w:t xml:space="preserve">Option 3 — Half-Day (3.5 hr, two breaks)</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1000"/>
        <w:gridCol w:w="5360"/>
        <w:gridCol w:w="3000"/>
      </w:tblGrid>
      <w:tr>
        <w:trPr>
          <w:tblHeader/>
        </w:trPr>
        <w:tc>
          <w:tcPr>
            <w:tcW w:type="dxa" w:w="10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Time</w:t>
            </w:r>
          </w:p>
        </w:tc>
        <w:tc>
          <w:tcPr>
            <w:tcW w:type="dxa" w:w="536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Block</w:t>
            </w:r>
          </w:p>
        </w:tc>
        <w:tc>
          <w:tcPr>
            <w:tcW w:type="dxa" w:w="30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Modules</w:t>
            </w:r>
          </w:p>
        </w:tc>
      </w:tr>
      <w:tr>
        <w:tc>
          <w:tcPr>
            <w:tcW w:type="dxa" w:w="1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0:00</w:t>
            </w:r>
          </w:p>
        </w:tc>
        <w:tc>
          <w:tcPr>
            <w:tcW w:type="dxa" w:w="53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Welcome, framing, stigma</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w:t>
            </w:r>
          </w:p>
        </w:tc>
      </w:tr>
      <w:tr>
        <w:tc>
          <w:tcPr>
            <w:tcW w:type="dxa" w:w="1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0:20</w:t>
            </w:r>
          </w:p>
        </w:tc>
        <w:tc>
          <w:tcPr>
            <w:tcW w:type="dxa" w:w="53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Fair Housing foundations ⚠</w:t>
            </w:r>
          </w:p>
        </w:tc>
        <w:tc>
          <w:tcPr>
            <w:tcW w:type="dxa" w:w="3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2</w:t>
            </w:r>
          </w:p>
        </w:tc>
      </w:tr>
      <w:tr>
        <w:tc>
          <w:tcPr>
            <w:tcW w:type="dxa" w:w="1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0:50</w:t>
            </w:r>
          </w:p>
        </w:tc>
        <w:tc>
          <w:tcPr>
            <w:tcW w:type="dxa" w:w="53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Reading the signs</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3</w:t>
            </w:r>
          </w:p>
        </w:tc>
      </w:tr>
      <w:tr>
        <w:tc>
          <w:tcPr>
            <w:tcW w:type="dxa" w:w="1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1:10</w:t>
            </w:r>
          </w:p>
        </w:tc>
        <w:tc>
          <w:tcPr>
            <w:tcW w:type="dxa" w:w="53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BREAK (10)</w:t>
            </w:r>
          </w:p>
        </w:tc>
        <w:tc>
          <w:tcPr>
            <w:tcW w:type="dxa" w:w="3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w:t>
            </w:r>
          </w:p>
        </w:tc>
      </w:tr>
      <w:tr>
        <w:tc>
          <w:tcPr>
            <w:tcW w:type="dxa" w:w="1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1:20</w:t>
            </w:r>
          </w:p>
        </w:tc>
        <w:tc>
          <w:tcPr>
            <w:tcW w:type="dxa" w:w="53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Responding in the moment + role-play</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4</w:t>
            </w:r>
          </w:p>
        </w:tc>
      </w:tr>
      <w:tr>
        <w:tc>
          <w:tcPr>
            <w:tcW w:type="dxa" w:w="1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1:55</w:t>
            </w:r>
          </w:p>
        </w:tc>
        <w:tc>
          <w:tcPr>
            <w:tcW w:type="dxa" w:w="53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Scenario carousel (3–4 cards)</w:t>
            </w:r>
          </w:p>
        </w:tc>
        <w:tc>
          <w:tcPr>
            <w:tcW w:type="dxa" w:w="3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5</w:t>
            </w:r>
          </w:p>
        </w:tc>
      </w:tr>
      <w:tr>
        <w:tc>
          <w:tcPr>
            <w:tcW w:type="dxa" w:w="1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2:30</w:t>
            </w:r>
          </w:p>
        </w:tc>
        <w:tc>
          <w:tcPr>
            <w:tcW w:type="dxa" w:w="53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BREAK (10)</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w:t>
            </w:r>
          </w:p>
        </w:tc>
      </w:tr>
      <w:tr>
        <w:tc>
          <w:tcPr>
            <w:tcW w:type="dxa" w:w="1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2:40</w:t>
            </w:r>
          </w:p>
        </w:tc>
        <w:tc>
          <w:tcPr>
            <w:tcW w:type="dxa" w:w="53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Documentation, follow-up, debrief ⚠</w:t>
            </w:r>
          </w:p>
        </w:tc>
        <w:tc>
          <w:tcPr>
            <w:tcW w:type="dxa" w:w="3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6</w:t>
            </w:r>
          </w:p>
        </w:tc>
      </w:tr>
      <w:tr>
        <w:tc>
          <w:tcPr>
            <w:tcW w:type="dxa" w:w="1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3:00</w:t>
            </w:r>
          </w:p>
        </w:tc>
        <w:tc>
          <w:tcPr>
            <w:tcW w:type="dxa" w:w="53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Burnout, compassion fatigue, self-assessment</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7</w:t>
            </w:r>
          </w:p>
        </w:tc>
      </w:tr>
      <w:tr>
        <w:tc>
          <w:tcPr>
            <w:tcW w:type="dxa" w:w="1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3:20</w:t>
            </w:r>
          </w:p>
        </w:tc>
        <w:tc>
          <w:tcPr>
            <w:tcW w:type="dxa" w:w="53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Resilience plan (+ supervisor track)</w:t>
            </w:r>
          </w:p>
        </w:tc>
        <w:tc>
          <w:tcPr>
            <w:tcW w:type="dxa" w:w="3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8–9</w:t>
            </w:r>
          </w:p>
        </w:tc>
      </w:tr>
      <w:tr>
        <w:tc>
          <w:tcPr>
            <w:tcW w:type="dxa" w:w="1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3:35</w:t>
            </w:r>
          </w:p>
        </w:tc>
        <w:tc>
          <w:tcPr>
            <w:tcW w:type="dxa" w:w="53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Action planning, resources, close</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10</w:t>
            </w:r>
          </w:p>
        </w:tc>
      </w:tr>
    </w:tbl>
    <w:p>
      <w:pPr>
        <w:pStyle w:val="Heading3"/>
      </w:pPr>
      <w:r>
        <w:t xml:space="preserve">Option 4 — Multi-Session Series</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1400"/>
        <w:gridCol w:w="4960"/>
        <w:gridCol w:w="3000"/>
      </w:tblGrid>
      <w:tr>
        <w:trPr>
          <w:tblHeader/>
        </w:trPr>
        <w:tc>
          <w:tcPr>
            <w:tcW w:type="dxa" w:w="14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Session</w:t>
            </w:r>
          </w:p>
        </w:tc>
        <w:tc>
          <w:tcPr>
            <w:tcW w:type="dxa" w:w="496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Focus</w:t>
            </w:r>
          </w:p>
        </w:tc>
        <w:tc>
          <w:tcPr>
            <w:tcW w:type="dxa" w:w="30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Modules</w:t>
            </w:r>
          </w:p>
        </w:tc>
      </w:tr>
      <w:tr>
        <w:tc>
          <w:tcPr>
            <w:tcW w:type="dxa" w:w="14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 (90 min)</w:t>
            </w:r>
          </w:p>
        </w:tc>
        <w:tc>
          <w:tcPr>
            <w:tcW w:type="dxa" w:w="49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Foundations &amp; responding to residents</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1–4</w:t>
            </w:r>
          </w:p>
        </w:tc>
      </w:tr>
      <w:tr>
        <w:tc>
          <w:tcPr>
            <w:tcW w:type="dxa" w:w="14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2 (90 min)</w:t>
            </w:r>
          </w:p>
        </w:tc>
        <w:tc>
          <w:tcPr>
            <w:tcW w:type="dxa" w:w="49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Scenarios, documentation &amp; recovery ⚠</w:t>
            </w:r>
          </w:p>
        </w:tc>
        <w:tc>
          <w:tcPr>
            <w:tcW w:type="dxa" w:w="30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5–6</w:t>
            </w:r>
          </w:p>
        </w:tc>
      </w:tr>
      <w:tr>
        <w:tc>
          <w:tcPr>
            <w:tcW w:type="dxa" w:w="14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3 (60–90 min)</w:t>
            </w:r>
          </w:p>
        </w:tc>
        <w:tc>
          <w:tcPr>
            <w:tcW w:type="dxa" w:w="49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Burnout, resilience &amp; building a well team</w:t>
            </w:r>
          </w:p>
        </w:tc>
        <w:tc>
          <w:tcPr>
            <w:tcW w:type="dxa" w:w="30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7–10</w:t>
            </w:r>
          </w:p>
        </w:tc>
      </w:tr>
    </w:tbl>
    <w:tbl>
      <w:tblPr>
        <w:tblW w:type="dxa" w:w="9360"/>
        <w:tblBorders>
          <w:top w:val="single" w:color="E6E6E6" w:sz="4"/>
          <w:left w:val="single" w:color="7F7F7F"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NOTE</w:t>
            </w:r>
          </w:p>
          <w:p>
            <w:pPr>
              <w:spacing w:after="120" w:line="276"/>
            </w:pPr>
            <w:r>
              <w:rPr>
                <w:b/>
                <w:bCs/>
              </w:rPr>
              <w:t xml:space="preserve">Trimming guidance. </w:t>
            </w:r>
            <w:r>
              <w:t xml:space="preserve">If you must cut, protect Modules 2 (Fair Housing), 4 (responding), and 7 (burnout) — they carry the legal, safety, and wellbeing core. Module 5 scenarios and Module 9 supervisor content are the easiest to lift out or run as a separate supervisor session.</w:t>
            </w:r>
          </w:p>
        </w:tc>
      </w:tr>
    </w:tbl>
    <w:p>
      <w:r>
        <w:br w:type="pag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1A1A1A" w:val="clear"/>
            <w:tcMar>
              <w:top w:type="dxa" w:w="220"/>
              <w:left w:type="dxa" w:w="240"/>
              <w:bottom w:type="dxa" w:w="220"/>
              <w:right w:type="dxa" w:w="240"/>
            </w:tcMar>
          </w:tcPr>
          <w:p>
            <w:pPr>
              <w:spacing w:after="40"/>
            </w:pPr>
            <w:r>
              <w:rPr>
                <w:rFonts w:ascii="Cambria" w:cs="Cambria" w:eastAsia="Cambria" w:hAnsi="Cambria"/>
                <w:b/>
                <w:bCs/>
                <w:color w:val="C8102E"/>
                <w:sz w:val="20"/>
                <w:szCs w:val="20"/>
              </w:rPr>
              <w:t xml:space="preserve">PART A</w:t>
            </w:r>
          </w:p>
          <w:p>
            <w:r>
              <w:rPr>
                <w:rFonts w:ascii="Cambria" w:cs="Cambria" w:eastAsia="Cambria" w:hAnsi="Cambria"/>
                <w:b/>
                <w:bCs/>
                <w:color w:val="FFFFFF"/>
                <w:sz w:val="30"/>
                <w:szCs w:val="30"/>
              </w:rPr>
              <w:t xml:space="preserve">Responding to Crisis &amp; Mental Health on the Property</w:t>
            </w:r>
          </w:p>
        </w:tc>
      </w:tr>
    </w:tbl>
    <w:p>
      <w:pPr>
        <w:spacing w:after="80"/>
      </w:pPr>
      <w:r>
        <w:t xml:space="preserve"/>
      </w:r>
    </w:p>
    <w:p>
      <w:pPr>
        <w:pStyle w:val="Heading1"/>
      </w:pPr>
      <w:r>
        <w:t xml:space="preserve">Module 1 — Framing: Why This Lands on Us</w:t>
      </w:r>
    </w:p>
    <w:p>
      <w:pPr>
        <w:spacing w:after="60" w:before="60"/>
      </w:pPr>
      <w:r>
        <w:rPr>
          <w:rFonts w:ascii="Cambria" w:cs="Cambria" w:eastAsia="Cambria" w:hAnsi="Cambria"/>
          <w:b/>
          <w:bCs/>
          <w:color w:val="C8102E"/>
          <w:sz w:val="19"/>
          <w:szCs w:val="19"/>
        </w:rPr>
        <w:t xml:space="preserve">LEARNING TARGET</w:t>
      </w:r>
    </w:p>
    <w:p>
      <w:pPr>
        <w:spacing w:after="120" w:line="276"/>
      </w:pPr>
      <w:r>
        <w:t xml:space="preserve">Participants understand where mental health surfaces in their day, why staff are first responders by proximity, and where their role starts and stops.</w:t>
      </w:r>
    </w:p>
    <w:p>
      <w:pPr>
        <w:pStyle w:val="Heading3"/>
      </w:pPr>
      <w:r>
        <w:t xml:space="preserve">Talking points</w:t>
      </w:r>
    </w:p>
    <w:p>
      <w:pPr>
        <w:pStyle w:val="ListParagraph"/>
        <w:numPr>
          <w:ilvl w:val="0"/>
          <w:numId w:val="3"/>
        </w:numPr>
        <w:spacing w:after="50" w:line="270"/>
      </w:pPr>
      <w:r>
        <w:t xml:space="preserve">Mental-health conditions are common in the general population, which means they are common among residents, prospects, vendors, and coworkers. You are not seeking these situations out — they arrive with the job.</w:t>
      </w:r>
    </w:p>
    <w:p>
      <w:pPr>
        <w:pStyle w:val="ListParagraph"/>
        <w:numPr>
          <w:ilvl w:val="0"/>
          <w:numId w:val="3"/>
        </w:numPr>
        <w:spacing w:after="50" w:line="270"/>
      </w:pPr>
      <w:r>
        <w:t xml:space="preserve">Onsite staff are “first responders by proximity.” You are often the first person to notice a change, because you’re in units, hallways, and the office every day.</w:t>
      </w:r>
    </w:p>
    <w:p>
      <w:pPr>
        <w:pStyle w:val="ListParagraph"/>
        <w:numPr>
          <w:ilvl w:val="0"/>
          <w:numId w:val="3"/>
        </w:numPr>
        <w:spacing w:after="50" w:line="270"/>
      </w:pPr>
      <w:r>
        <w:t xml:space="preserve">The core reframe for the whole course: you are a connector, not a clinician. Your job is to notice, respond safely, connect to help, document facts, and stay well — not to assess, diagnose, counsel, or treat.</w:t>
      </w:r>
    </w:p>
    <w:p>
      <w:pPr>
        <w:pStyle w:val="ListParagraph"/>
        <w:numPr>
          <w:ilvl w:val="0"/>
          <w:numId w:val="3"/>
        </w:numPr>
        <w:spacing w:after="50" w:line="270"/>
      </w:pPr>
      <w:r>
        <w:t xml:space="preserve">Where it shows up: leasing conversations and application stress; maintenance calls (units are where distress becomes visible); common areas and amenities; welfare-check requests from family; late rent and eviction anxiety; neighbor conflict; coworker strain.</w:t>
      </w:r>
    </w:p>
    <w:p>
      <w:pPr>
        <w:pStyle w:val="ListParagraph"/>
        <w:numPr>
          <w:ilvl w:val="0"/>
          <w:numId w:val="3"/>
        </w:numPr>
        <w:spacing w:after="50" w:line="270"/>
      </w:pPr>
      <w:r>
        <w:t xml:space="preserve">Stigma reset: distress is not danger. Most people experiencing a mental-health crisis are far more likely to be harmed or to harm themselves than to harm others. Fear-based responses escalate situations and create Fair Housing risk.</w:t>
      </w:r>
    </w:p>
    <w:p>
      <w:pPr>
        <w:pStyle w:val="Heading3"/>
      </w:pPr>
      <w:r>
        <w:t xml:space="preserve">Role boundaries by position</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1700"/>
        <w:gridCol w:w="3860"/>
        <w:gridCol w:w="3800"/>
      </w:tblGrid>
      <w:tr>
        <w:trPr>
          <w:tblHeader/>
        </w:trPr>
        <w:tc>
          <w:tcPr>
            <w:tcW w:type="dxa" w:w="17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Role</w:t>
            </w:r>
          </w:p>
        </w:tc>
        <w:tc>
          <w:tcPr>
            <w:tcW w:type="dxa" w:w="386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Most likely to encounter</w:t>
            </w:r>
          </w:p>
        </w:tc>
        <w:tc>
          <w:tcPr>
            <w:tcW w:type="dxa" w:w="38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Primary responsibility</w:t>
            </w:r>
          </w:p>
        </w:tc>
      </w:tr>
      <w:tr>
        <w:tc>
          <w:tcPr>
            <w:tcW w:type="dxa" w:w="17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Maintenance Tech</w:t>
            </w:r>
          </w:p>
        </w:tc>
        <w:tc>
          <w:tcPr>
            <w:tcW w:type="dxa" w:w="38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Distress observed inside units; hoarding; welfare concerns</w:t>
            </w:r>
          </w:p>
        </w:tc>
        <w:tc>
          <w:tcPr>
            <w:tcW w:type="dxa" w:w="38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Notice, ensure safety, report up, respect privacy — do not counsel or confront</w:t>
            </w:r>
          </w:p>
        </w:tc>
      </w:tr>
      <w:tr>
        <w:tc>
          <w:tcPr>
            <w:tcW w:type="dxa" w:w="17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Leasing Pro</w:t>
            </w:r>
          </w:p>
        </w:tc>
        <w:tc>
          <w:tcPr>
            <w:tcW w:type="dxa" w:w="38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Application/financial stress; disclosures; first point of contact</w:t>
            </w:r>
          </w:p>
        </w:tc>
        <w:tc>
          <w:tcPr>
            <w:tcW w:type="dxa" w:w="38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Stay calm, avoid assumptions, route accommodation requests correctly ⚠</w:t>
            </w:r>
          </w:p>
        </w:tc>
      </w:tr>
      <w:tr>
        <w:tc>
          <w:tcPr>
            <w:tcW w:type="dxa" w:w="17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Assistant PM</w:t>
            </w:r>
          </w:p>
        </w:tc>
        <w:tc>
          <w:tcPr>
            <w:tcW w:type="dxa" w:w="38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Escalated resident interactions; documentation</w:t>
            </w:r>
          </w:p>
        </w:tc>
        <w:tc>
          <w:tcPr>
            <w:tcW w:type="dxa" w:w="38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Support de-escalation, document facts, coordinate resources</w:t>
            </w:r>
          </w:p>
        </w:tc>
      </w:tr>
      <w:tr>
        <w:tc>
          <w:tcPr>
            <w:tcW w:type="dxa" w:w="17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Property Manager</w:t>
            </w:r>
          </w:p>
        </w:tc>
        <w:tc>
          <w:tcPr>
            <w:tcW w:type="dxa" w:w="38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Site-level decisions; incident command; staff support</w:t>
            </w:r>
          </w:p>
        </w:tc>
        <w:tc>
          <w:tcPr>
            <w:tcW w:type="dxa" w:w="38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Own the response plan, ensure FH compliance ⚠, protect the team</w:t>
            </w:r>
          </w:p>
        </w:tc>
      </w:tr>
      <w:tr>
        <w:tc>
          <w:tcPr>
            <w:tcW w:type="dxa" w:w="17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Regional Manager</w:t>
            </w:r>
          </w:p>
        </w:tc>
        <w:tc>
          <w:tcPr>
            <w:tcW w:type="dxa" w:w="38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Policy, patterns across sites, high-severity events</w:t>
            </w:r>
          </w:p>
        </w:tc>
        <w:tc>
          <w:tcPr>
            <w:tcW w:type="dxa" w:w="38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Set standards, resource sites, support managers, ensure legal alignment</w:t>
            </w:r>
          </w:p>
        </w:tc>
      </w:tr>
    </w:tbl>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BEAEC" w:val="clear"/>
            <w:tcMar>
              <w:top w:type="dxa" w:w="120"/>
              <w:left w:type="dxa" w:w="180"/>
              <w:bottom w:type="dxa" w:w="120"/>
              <w:right w:type="dxa" w:w="180"/>
            </w:tcMar>
          </w:tcPr>
          <w:p>
            <w:pPr>
              <w:spacing w:after="60"/>
            </w:pPr>
            <w:r>
              <w:rPr>
                <w:rFonts w:ascii="Cambria" w:cs="Cambria" w:eastAsia="Cambria" w:hAnsi="Cambria"/>
                <w:b/>
                <w:bCs/>
                <w:color w:val="8A0F1F"/>
                <w:sz w:val="20"/>
                <w:szCs w:val="20"/>
              </w:rPr>
              <w:t xml:space="preserve">⚠ FAIR HOUSING WATCH-OUT</w:t>
            </w:r>
          </w:p>
          <w:p>
            <w:pPr>
              <w:spacing w:after="120" w:line="276"/>
            </w:pPr>
            <w:r>
              <w:t xml:space="preserve">A person’s mental-health condition is never a lawful basis for different treatment in leasing, renewals, service, or enforcement. Framing someone as “difficult,” “unstable,” or “a liability” because of perceived mental illness can become evidence of discrimination. Focus on behavior and lease terms — never on the person’s presumed condition.</w:t>
            </w:r>
          </w:p>
        </w:tc>
      </w:tr>
    </w:tbl>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7F7F7" w:val="clear"/>
            <w:tcMar>
              <w:top w:type="dxa" w:w="120"/>
              <w:left w:type="dxa" w:w="180"/>
              <w:bottom w:type="dxa" w:w="120"/>
              <w:right w:type="dxa" w:w="180"/>
            </w:tcMar>
          </w:tcPr>
          <w:p>
            <w:pPr>
              <w:spacing w:after="60"/>
            </w:pPr>
            <w:r>
              <w:rPr>
                <w:rFonts w:ascii="Cambria" w:cs="Cambria" w:eastAsia="Cambria" w:hAnsi="Cambria"/>
                <w:b/>
                <w:bCs/>
                <w:color w:val="C8102E"/>
                <w:sz w:val="20"/>
                <w:szCs w:val="20"/>
              </w:rPr>
              <w:t xml:space="preserve">ACTIVITY</w:t>
            </w:r>
          </w:p>
          <w:p>
            <w:pPr>
              <w:spacing w:after="120" w:line="276"/>
            </w:pPr>
            <w:r>
              <w:rPr>
                <w:b/>
                <w:bCs/>
              </w:rPr>
              <w:t xml:space="preserve">“Where do we meet this?” (10 min). </w:t>
            </w:r>
            <w:r>
              <w:t xml:space="preserve">In pods, map real moments from your property where mental-health or crisis situations show up. Post them on a shared wall grouped by location (office / unit / common area / phone). Debrief: which are we prepared for, and which catch us off guard?</w:t>
            </w:r>
          </w:p>
        </w:tc>
      </w:tr>
    </w:tbl>
    <w:p>
      <w:pPr>
        <w:pStyle w:val="Heading1"/>
      </w:pPr>
      <w:r>
        <w:t xml:space="preserve">Module 2 — Fair Housing &amp; Legal Foundations ⚠</w:t>
      </w:r>
    </w:p>
    <w:p>
      <w:pPr>
        <w:spacing w:after="60" w:before="60"/>
      </w:pPr>
      <w:r>
        <w:rPr>
          <w:rFonts w:ascii="Cambria" w:cs="Cambria" w:eastAsia="Cambria" w:hAnsi="Cambria"/>
          <w:b/>
          <w:bCs/>
          <w:color w:val="C8102E"/>
          <w:sz w:val="19"/>
          <w:szCs w:val="19"/>
        </w:rPr>
        <w:t xml:space="preserve">LEARNING TARGET</w:t>
      </w:r>
    </w:p>
    <w:p>
      <w:pPr>
        <w:spacing w:after="120" w:line="276"/>
      </w:pPr>
      <w:r>
        <w:t xml:space="preserve">Participants can respond to mental-health situations without creating discrimination risk — handling accommodations, confidentiality, and enforcement correctly.</w:t>
      </w:r>
    </w:p>
    <w:tbl>
      <w:tblPr>
        <w:tblW w:type="dxa" w:w="9360"/>
        <w:tblBorders>
          <w:top w:val="single" w:color="E6E6E6" w:sz="4"/>
          <w:left w:val="single" w:color="7F7F7F"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NOTE</w:t>
            </w:r>
          </w:p>
          <w:p>
            <w:pPr>
              <w:spacing w:after="120" w:line="276"/>
            </w:pPr>
            <w:r>
              <w:rPr>
                <w:b/>
                <w:bCs/>
              </w:rPr>
              <w:t xml:space="preserve">This is the load-bearing module. </w:t>
            </w:r>
            <w:r>
              <w:t xml:space="preserve">Do not cut it. If time is tight elsewhere, trim scenarios before you trim this. Emphasize that everything here must be verified against current HUD/FHEO guidance and company policy before it is taught for credit.</w:t>
            </w:r>
          </w:p>
        </w:tc>
      </w:tr>
    </w:tbl>
    <w:p>
      <w:pPr>
        <w:pStyle w:val="Heading3"/>
      </w:pPr>
      <w:r>
        <w:t xml:space="preserve">Talking points</w:t>
      </w:r>
    </w:p>
    <w:p>
      <w:pPr>
        <w:pStyle w:val="ListParagraph"/>
        <w:numPr>
          <w:ilvl w:val="0"/>
          <w:numId w:val="3"/>
        </w:numPr>
        <w:spacing w:after="50" w:line="270"/>
      </w:pPr>
      <w:r>
        <w:t xml:space="preserve">Mental illness and psychiatric conditions are disabilities under the Fair Housing Act. That means the protections, and the obligations, that apply to any disability apply here.</w:t>
      </w:r>
    </w:p>
    <w:p>
      <w:pPr>
        <w:pStyle w:val="ListParagraph"/>
        <w:numPr>
          <w:ilvl w:val="0"/>
          <w:numId w:val="3"/>
        </w:numPr>
        <w:spacing w:after="50" w:line="270"/>
      </w:pPr>
      <w:r>
        <w:t xml:space="preserve">Reasonable accommodations are changes to rules, policies, or services that let a person with a disability use and enjoy their home. Examples: a transfer for a resident whose condition is worsened by a specific unit; permission for a support person to attend a lease meeting; adjusted communication methods; a payment-date shift tied to a benefits schedule.</w:t>
      </w:r>
    </w:p>
    <w:p>
      <w:pPr>
        <w:pStyle w:val="ListParagraph"/>
        <w:numPr>
          <w:ilvl w:val="0"/>
          <w:numId w:val="3"/>
        </w:numPr>
        <w:spacing w:after="50" w:line="270"/>
      </w:pPr>
      <w:r>
        <w:t xml:space="preserve">Reasonable modifications are physical changes to the unit or common areas. Know your intake path for both.</w:t>
      </w:r>
    </w:p>
    <w:p>
      <w:pPr>
        <w:pStyle w:val="ListParagraph"/>
        <w:numPr>
          <w:ilvl w:val="0"/>
          <w:numId w:val="3"/>
        </w:numPr>
        <w:spacing w:after="50" w:line="270"/>
      </w:pPr>
      <w:r>
        <w:t xml:space="preserve">You cannot require a resident to disclose a diagnosis. When a disability or the need isn’t obvious, you may request only enough verification to confirm a disability-related need — not medical records or specifics. Route these requests; don’t interrogate.</w:t>
      </w:r>
    </w:p>
    <w:p>
      <w:pPr>
        <w:pStyle w:val="ListParagraph"/>
        <w:numPr>
          <w:ilvl w:val="0"/>
          <w:numId w:val="3"/>
        </w:numPr>
        <w:spacing w:after="50" w:line="270"/>
      </w:pPr>
      <w:r>
        <w:t xml:space="preserve">Assistance animals (service animals and support animals) are an accommodation, not a pet. “No-pet” rules, pet fees, and breed/size limits generally do not apply. This is one of the most common overlaps with mental health — handle requests through your established process.</w:t>
      </w:r>
    </w:p>
    <w:p>
      <w:pPr>
        <w:pStyle w:val="ListParagraph"/>
        <w:numPr>
          <w:ilvl w:val="0"/>
          <w:numId w:val="3"/>
        </w:numPr>
        <w:spacing w:after="50" w:line="270"/>
      </w:pPr>
      <w:r>
        <w:t xml:space="preserve">The “direct threat” standard is narrow. You may only act on a genuine, current, significant risk to health or safety that cannot be reduced by a reasonable accommodation — based on objective evidence of conduct, not stereotypes or fear about mental illness. When in doubt, involve management and counsel.</w:t>
      </w:r>
    </w:p>
    <w:p>
      <w:pPr>
        <w:pStyle w:val="ListParagraph"/>
        <w:numPr>
          <w:ilvl w:val="0"/>
          <w:numId w:val="3"/>
        </w:numPr>
        <w:spacing w:after="50" w:line="270"/>
      </w:pPr>
      <w:r>
        <w:t xml:space="preserve">Confidentiality: disability and health information is sensitive. Share only with those who genuinely need it to act, store it securely, and keep it out of general notes and casual conversation.</w:t>
      </w:r>
    </w:p>
    <w:p>
      <w:pPr>
        <w:pStyle w:val="ListParagraph"/>
        <w:numPr>
          <w:ilvl w:val="0"/>
          <w:numId w:val="3"/>
        </w:numPr>
        <w:spacing w:after="50" w:line="270"/>
      </w:pPr>
      <w:r>
        <w:t xml:space="preserve">Non-discrimination in the moment: don’t steer, don’t refuse to rent, don’t apply rules more strictly, and don’t “warn” a person off because of a perceived condition.</w:t>
      </w:r>
    </w:p>
    <w:p>
      <w:pPr>
        <w:pStyle w:val="Heading3"/>
      </w:pPr>
      <w:r>
        <w:t xml:space="preserve">Hoarding: where disability and lease enforcement collide</w:t>
      </w:r>
    </w:p>
    <w:p>
      <w:pPr>
        <w:pStyle w:val="ListParagraph"/>
        <w:numPr>
          <w:ilvl w:val="0"/>
          <w:numId w:val="3"/>
        </w:numPr>
        <w:spacing w:after="50" w:line="270"/>
      </w:pPr>
      <w:r>
        <w:t xml:space="preserve">Hoarding disorder can be a protected disability. A blanket “clutter = lease violation” response can be discriminatory if it ignores the accommodation process.</w:t>
      </w:r>
    </w:p>
    <w:p>
      <w:pPr>
        <w:pStyle w:val="ListParagraph"/>
        <w:numPr>
          <w:ilvl w:val="0"/>
          <w:numId w:val="3"/>
        </w:numPr>
        <w:spacing w:after="50" w:line="270"/>
      </w:pPr>
      <w:r>
        <w:t xml:space="preserve">Best practice is engage-and-accommodate before enforce: address genuine health/safety and lease-condition concerns while offering a reasonable accommodation (time, a plan, connection to resources) rather than moving straight to notices.</w:t>
      </w:r>
    </w:p>
    <w:p>
      <w:pPr>
        <w:pStyle w:val="ListParagraph"/>
        <w:numPr>
          <w:ilvl w:val="0"/>
          <w:numId w:val="3"/>
        </w:numPr>
        <w:spacing w:after="50" w:line="270"/>
      </w:pPr>
      <w:r>
        <w:t xml:space="preserve">Document conditions objectively (photos of safety hazards, blocked egress) — not judgments about the person.</w:t>
      </w:r>
    </w:p>
    <w:p>
      <w:pPr>
        <w:pStyle w:val="Heading3"/>
      </w:pPr>
      <w:r>
        <w:t xml:space="preserve">VAWA &amp; domestic-violence protections ⚠</w:t>
      </w:r>
    </w:p>
    <w:p>
      <w:pPr>
        <w:pStyle w:val="ListParagraph"/>
        <w:numPr>
          <w:ilvl w:val="0"/>
          <w:numId w:val="3"/>
        </w:numPr>
        <w:spacing w:after="50" w:line="270"/>
      </w:pPr>
      <w:r>
        <w:t xml:space="preserve">Survivors of domestic violence, dating violence, sexual assault, and stalking have specific housing protections. Being a victim is not a lawful basis for denial, eviction, or different treatment.</w:t>
      </w:r>
    </w:p>
    <w:p>
      <w:pPr>
        <w:pStyle w:val="ListParagraph"/>
        <w:numPr>
          <w:ilvl w:val="0"/>
          <w:numId w:val="3"/>
        </w:numPr>
        <w:spacing w:after="50" w:line="270"/>
      </w:pPr>
      <w:r>
        <w:t xml:space="preserve">If a resident discloses abuse, know your referral path and your confidentiality obligations — do not repeat the disclosure or note it where it isn’t needed.</w:t>
      </w:r>
    </w:p>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BEAEC" w:val="clear"/>
            <w:tcMar>
              <w:top w:type="dxa" w:w="120"/>
              <w:left w:type="dxa" w:w="180"/>
              <w:bottom w:type="dxa" w:w="120"/>
              <w:right w:type="dxa" w:w="180"/>
            </w:tcMar>
          </w:tcPr>
          <w:p>
            <w:pPr>
              <w:spacing w:after="60"/>
            </w:pPr>
            <w:r>
              <w:rPr>
                <w:rFonts w:ascii="Cambria" w:cs="Cambria" w:eastAsia="Cambria" w:hAnsi="Cambria"/>
                <w:b/>
                <w:bCs/>
                <w:color w:val="8A0F1F"/>
                <w:sz w:val="20"/>
                <w:szCs w:val="20"/>
              </w:rPr>
              <w:t xml:space="preserve">⚠ FAIR HOUSING WATCH-OUT</w:t>
            </w:r>
          </w:p>
          <w:p>
            <w:pPr>
              <w:spacing w:after="120" w:line="276"/>
            </w:pPr>
            <w:r>
              <w:t xml:space="preserve">The safest habit in every interaction: separate the </w:t>
            </w:r>
            <w:r>
              <w:rPr>
                <w:i/>
                <w:iCs/>
              </w:rPr>
              <w:t xml:space="preserve">person</w:t>
            </w:r>
            <w:r>
              <w:t xml:space="preserve"> from the </w:t>
            </w:r>
            <w:r>
              <w:rPr>
                <w:i/>
                <w:iCs/>
              </w:rPr>
              <w:t xml:space="preserve">behavior</w:t>
            </w:r>
            <w:r>
              <w:t xml:space="preserve"> and the </w:t>
            </w:r>
            <w:r>
              <w:rPr>
                <w:i/>
                <w:iCs/>
              </w:rPr>
              <w:t xml:space="preserve">lease term</w:t>
            </w:r>
            <w:r>
              <w:t xml:space="preserve">. You enforce lease terms and respond to behavior. You do not act on who someone is or what condition you think they have.</w:t>
            </w:r>
          </w:p>
        </w:tc>
      </w:tr>
    </w:tbl>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7F7F7" w:val="clear"/>
            <w:tcMar>
              <w:top w:type="dxa" w:w="120"/>
              <w:left w:type="dxa" w:w="180"/>
              <w:bottom w:type="dxa" w:w="120"/>
              <w:right w:type="dxa" w:w="180"/>
            </w:tcMar>
          </w:tcPr>
          <w:p>
            <w:pPr>
              <w:spacing w:after="60"/>
            </w:pPr>
            <w:r>
              <w:rPr>
                <w:rFonts w:ascii="Cambria" w:cs="Cambria" w:eastAsia="Cambria" w:hAnsi="Cambria"/>
                <w:b/>
                <w:bCs/>
                <w:color w:val="C8102E"/>
                <w:sz w:val="20"/>
                <w:szCs w:val="20"/>
              </w:rPr>
              <w:t xml:space="preserve">ACTIVITY</w:t>
            </w:r>
          </w:p>
          <w:p>
            <w:pPr>
              <w:spacing w:after="120" w:line="276"/>
            </w:pPr>
            <w:r>
              <w:rPr>
                <w:b/>
                <w:bCs/>
              </w:rPr>
              <w:t xml:space="preserve">Accommodation vs. enforcement sort (12 min). </w:t>
            </w:r>
            <w:r>
              <w:t xml:space="preserve">Give each pod a stack of short situation cards (e.g., “resident asks to move a support person into a lease meeting,” “unit has blocked egress,” “resident wants a waived pet fee for a support animal”). Sort each into: route as accommodation / address as behavior or lease / needs management + verification. Debrief the gray areas.</w:t>
            </w:r>
          </w:p>
        </w:tc>
      </w:tr>
    </w:tbl>
    <w:p>
      <w:pPr>
        <w:pStyle w:val="Heading1"/>
      </w:pPr>
      <w:r>
        <w:t xml:space="preserve">Module 3 — Reading the Signs</w:t>
      </w:r>
    </w:p>
    <w:p>
      <w:pPr>
        <w:spacing w:after="60" w:before="60"/>
      </w:pPr>
      <w:r>
        <w:rPr>
          <w:rFonts w:ascii="Cambria" w:cs="Cambria" w:eastAsia="Cambria" w:hAnsi="Cambria"/>
          <w:b/>
          <w:bCs/>
          <w:color w:val="C8102E"/>
          <w:sz w:val="19"/>
          <w:szCs w:val="19"/>
        </w:rPr>
        <w:t xml:space="preserve">LEARNING TARGET</w:t>
      </w:r>
    </w:p>
    <w:p>
      <w:pPr>
        <w:spacing w:after="120" w:line="276"/>
      </w:pPr>
      <w:r>
        <w:t xml:space="preserve">Participants can notice observable warning signs and place a situation on the stress-to-crisis continuum — without diagnosing.</w:t>
      </w:r>
    </w:p>
    <w:p>
      <w:pPr>
        <w:pStyle w:val="Heading3"/>
      </w:pPr>
      <w:r>
        <w:t xml:space="preserve">The continuum</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1500"/>
        <w:gridCol w:w="5060"/>
        <w:gridCol w:w="2800"/>
      </w:tblGrid>
      <w:tr>
        <w:trPr>
          <w:tblHeader/>
        </w:trPr>
        <w:tc>
          <w:tcPr>
            <w:tcW w:type="dxa" w:w="15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Level</w:t>
            </w:r>
          </w:p>
        </w:tc>
        <w:tc>
          <w:tcPr>
            <w:tcW w:type="dxa" w:w="506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What you may observe</w:t>
            </w:r>
          </w:p>
        </w:tc>
        <w:tc>
          <w:tcPr>
            <w:tcW w:type="dxa" w:w="28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Your posture</w:t>
            </w:r>
          </w:p>
        </w:tc>
      </w:tr>
      <w:tr>
        <w:tc>
          <w:tcPr>
            <w:tcW w:type="dxa" w:w="15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Stress</w:t>
            </w:r>
          </w:p>
        </w:tc>
        <w:tc>
          <w:tcPr>
            <w:tcW w:type="dxa" w:w="50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Frustration, short temper, tearfulness, overwhelm that resolves</w:t>
            </w:r>
          </w:p>
        </w:tc>
        <w:tc>
          <w:tcPr>
            <w:tcW w:type="dxa" w:w="28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Listen, be patient, offer practical help</w:t>
            </w:r>
          </w:p>
        </w:tc>
      </w:tr>
      <w:tr>
        <w:tc>
          <w:tcPr>
            <w:tcW w:type="dxa" w:w="15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Distress</w:t>
            </w:r>
          </w:p>
        </w:tc>
        <w:tc>
          <w:tcPr>
            <w:tcW w:type="dxa" w:w="50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Persistent change: withdrawal, agitation, hopeless talk, neglect</w:t>
            </w:r>
          </w:p>
        </w:tc>
        <w:tc>
          <w:tcPr>
            <w:tcW w:type="dxa" w:w="28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Check in, connect to resources, notify management</w:t>
            </w:r>
          </w:p>
        </w:tc>
      </w:tr>
      <w:tr>
        <w:tc>
          <w:tcPr>
            <w:tcW w:type="dxa" w:w="15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Crisis</w:t>
            </w:r>
          </w:p>
        </w:tc>
        <w:tc>
          <w:tcPr>
            <w:tcW w:type="dxa" w:w="50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Can’t cope; erratic, disoriented, threats to self/others, breakdown</w:t>
            </w:r>
          </w:p>
        </w:tc>
        <w:tc>
          <w:tcPr>
            <w:tcW w:type="dxa" w:w="28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De-escalate, ensure safety, call for help (988 / 911)</w:t>
            </w:r>
          </w:p>
        </w:tc>
      </w:tr>
      <w:tr>
        <w:tc>
          <w:tcPr>
            <w:tcW w:type="dxa" w:w="15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Emergency</w:t>
            </w:r>
          </w:p>
        </w:tc>
        <w:tc>
          <w:tcPr>
            <w:tcW w:type="dxa" w:w="50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Immediate danger to life or safety; medical emergency; violence</w:t>
            </w:r>
          </w:p>
        </w:tc>
        <w:tc>
          <w:tcPr>
            <w:tcW w:type="dxa" w:w="28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Call 911 first, keep yourself safe, then notify management</w:t>
            </w:r>
          </w:p>
        </w:tc>
      </w:tr>
    </w:tbl>
    <w:p>
      <w:pPr>
        <w:pStyle w:val="Heading3"/>
      </w:pPr>
      <w:r>
        <w:t xml:space="preserve">Observable cues (notice, don’t diagnose)</w:t>
      </w:r>
    </w:p>
    <w:p>
      <w:pPr>
        <w:pStyle w:val="ListParagraph"/>
        <w:numPr>
          <w:ilvl w:val="0"/>
          <w:numId w:val="3"/>
        </w:numPr>
        <w:spacing w:after="50" w:line="270"/>
      </w:pPr>
      <w:r>
        <w:t xml:space="preserve">Behavioral: withdrawal, sudden mood shifts, neglect of unit or hygiene, giving away belongings, missed patterns.</w:t>
      </w:r>
    </w:p>
    <w:p>
      <w:pPr>
        <w:pStyle w:val="ListParagraph"/>
        <w:numPr>
          <w:ilvl w:val="0"/>
          <w:numId w:val="3"/>
        </w:numPr>
        <w:spacing w:after="50" w:line="270"/>
      </w:pPr>
      <w:r>
        <w:t xml:space="preserve">Verbal: hopelessness, feeling trapped or a burden, talk of “not being around,” confusion, threats.</w:t>
      </w:r>
    </w:p>
    <w:p>
      <w:pPr>
        <w:pStyle w:val="ListParagraph"/>
        <w:numPr>
          <w:ilvl w:val="0"/>
          <w:numId w:val="3"/>
        </w:numPr>
        <w:spacing w:after="50" w:line="270"/>
      </w:pPr>
      <w:r>
        <w:t xml:space="preserve">Physical: disorientation, extreme fatigue, signs of self-neglect, intoxication, injuries.</w:t>
      </w:r>
    </w:p>
    <w:p>
      <w:pPr>
        <w:pStyle w:val="ListParagraph"/>
        <w:numPr>
          <w:ilvl w:val="0"/>
          <w:numId w:val="3"/>
        </w:numPr>
        <w:spacing w:after="50" w:line="270"/>
      </w:pPr>
      <w:r>
        <w:t xml:space="preserve">Contextual: recent loss, eviction, job change, isolation, anniversary of a loss.</w:t>
      </w:r>
    </w:p>
    <w:tbl>
      <w:tblPr>
        <w:tblW w:type="dxa" w:w="9360"/>
        <w:tblBorders>
          <w:top w:val="single" w:color="E6E6E6" w:sz="4"/>
          <w:left w:val="single" w:color="7F7F7F"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NOTE</w:t>
            </w:r>
          </w:p>
          <w:p>
            <w:pPr>
              <w:spacing w:after="120" w:line="276"/>
            </w:pPr>
            <w:r>
              <w:t xml:space="preserve">Stress that these are observations to act on, not labels. “I noticed you’ve seemed really down and mentioned feeling trapped” is safe and useful. “You seem bipolar / paranoid / suicidal” is neither your call nor safe.</w:t>
            </w:r>
          </w:p>
        </w:tc>
      </w:tr>
    </w:tbl>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7F7F7" w:val="clear"/>
            <w:tcMar>
              <w:top w:type="dxa" w:w="120"/>
              <w:left w:type="dxa" w:w="180"/>
              <w:bottom w:type="dxa" w:w="120"/>
              <w:right w:type="dxa" w:w="180"/>
            </w:tcMar>
          </w:tcPr>
          <w:p>
            <w:pPr>
              <w:spacing w:after="60"/>
            </w:pPr>
            <w:r>
              <w:rPr>
                <w:rFonts w:ascii="Cambria" w:cs="Cambria" w:eastAsia="Cambria" w:hAnsi="Cambria"/>
                <w:b/>
                <w:bCs/>
                <w:color w:val="C8102E"/>
                <w:sz w:val="20"/>
                <w:szCs w:val="20"/>
              </w:rPr>
              <w:t xml:space="preserve">ACTIVITY</w:t>
            </w:r>
          </w:p>
          <w:p>
            <w:pPr>
              <w:spacing w:after="120" w:line="276"/>
            </w:pPr>
            <w:r>
              <w:rPr>
                <w:b/>
                <w:bCs/>
              </w:rPr>
              <w:t xml:space="preserve">Signal vs. noise (8 min). </w:t>
            </w:r>
            <w:r>
              <w:t xml:space="preserve">Show short vignettes; participants call out the observable cue and place it on the continuum, then state the appropriate posture. Reinforce facts-over-labels.</w:t>
            </w:r>
          </w:p>
        </w:tc>
      </w:tr>
    </w:tbl>
    <w:p>
      <w:pPr>
        <w:pStyle w:val="Heading1"/>
      </w:pPr>
      <w:r>
        <w:t xml:space="preserve">Module 4 — Responding in the Moment</w:t>
      </w:r>
    </w:p>
    <w:p>
      <w:pPr>
        <w:spacing w:after="60" w:before="60"/>
      </w:pPr>
      <w:r>
        <w:rPr>
          <w:rFonts w:ascii="Cambria" w:cs="Cambria" w:eastAsia="Cambria" w:hAnsi="Cambria"/>
          <w:b/>
          <w:bCs/>
          <w:color w:val="C8102E"/>
          <w:sz w:val="19"/>
          <w:szCs w:val="19"/>
        </w:rPr>
        <w:t xml:space="preserve">LEARNING TARGET</w:t>
      </w:r>
    </w:p>
    <w:p>
      <w:pPr>
        <w:spacing w:after="120" w:line="276"/>
      </w:pPr>
      <w:r>
        <w:t xml:space="preserve">Participants can use calm-presence de-escalation and the QPR model, and choose the right level of help.</w:t>
      </w:r>
    </w:p>
    <w:p>
      <w:pPr>
        <w:pStyle w:val="Heading3"/>
      </w:pPr>
      <w:r>
        <w:t xml:space="preserve">Safety first — always</w:t>
      </w:r>
    </w:p>
    <w:p>
      <w:pPr>
        <w:pStyle w:val="ListParagraph"/>
        <w:numPr>
          <w:ilvl w:val="0"/>
          <w:numId w:val="3"/>
        </w:numPr>
        <w:spacing w:after="50" w:line="270"/>
      </w:pPr>
      <w:r>
        <w:t xml:space="preserve">Your safety, then theirs, then bystanders’. You cannot help anyone if you become a casualty.</w:t>
      </w:r>
    </w:p>
    <w:p>
      <w:pPr>
        <w:pStyle w:val="ListParagraph"/>
        <w:numPr>
          <w:ilvl w:val="0"/>
          <w:numId w:val="3"/>
        </w:numPr>
        <w:spacing w:after="50" w:line="270"/>
      </w:pPr>
      <w:r>
        <w:t xml:space="preserve">Keep space and an exit. Don’t block a doorway or get cornered. Trust your instincts — leave and call for help if needed.</w:t>
      </w:r>
    </w:p>
    <w:p>
      <w:pPr>
        <w:pStyle w:val="ListParagraph"/>
        <w:numPr>
          <w:ilvl w:val="0"/>
          <w:numId w:val="3"/>
        </w:numPr>
        <w:spacing w:after="50" w:line="270"/>
      </w:pPr>
      <w:r>
        <w:t xml:space="preserve">Never physically restrain, transport in your vehicle, or enter an unsafe situation to “handle it” yourself.</w:t>
      </w:r>
    </w:p>
    <w:p>
      <w:pPr>
        <w:pStyle w:val="Heading3"/>
      </w:pPr>
      <w:r>
        <w:t xml:space="preserve">Calm-presence de-escalation (quick refresher)</w:t>
      </w:r>
    </w:p>
    <w:p>
      <w:pPr>
        <w:pStyle w:val="ListParagraph"/>
        <w:numPr>
          <w:ilvl w:val="0"/>
          <w:numId w:val="3"/>
        </w:numPr>
        <w:spacing w:after="50" w:line="270"/>
      </w:pPr>
      <w:r>
        <w:t xml:space="preserve">Regulate yourself first: slow voice, open posture, unhurried pace. Your calm is contagious.</w:t>
      </w:r>
    </w:p>
    <w:p>
      <w:pPr>
        <w:pStyle w:val="ListParagraph"/>
        <w:numPr>
          <w:ilvl w:val="0"/>
          <w:numId w:val="3"/>
        </w:numPr>
        <w:spacing w:after="50" w:line="270"/>
      </w:pPr>
      <w:r>
        <w:t xml:space="preserve">Listen to understand. Reflect back what you hear. Don’t argue, correct, or minimize.</w:t>
      </w:r>
    </w:p>
    <w:p>
      <w:pPr>
        <w:pStyle w:val="ListParagraph"/>
        <w:numPr>
          <w:ilvl w:val="0"/>
          <w:numId w:val="3"/>
        </w:numPr>
        <w:spacing w:after="50" w:line="270"/>
      </w:pPr>
      <w:r>
        <w:t xml:space="preserve">Give space and simple choices. Reduce demands and stimulation.</w:t>
      </w:r>
    </w:p>
    <w:p>
      <w:pPr>
        <w:pStyle w:val="ListParagraph"/>
        <w:numPr>
          <w:ilvl w:val="0"/>
          <w:numId w:val="3"/>
        </w:numPr>
        <w:spacing w:after="50" w:line="270"/>
      </w:pPr>
      <w:r>
        <w:t xml:space="preserve">Validate feelings without validating threats or unsafe plans: “That sounds incredibly hard” — not “you’re right, everyone is against you.”</w:t>
      </w:r>
    </w:p>
    <w:p>
      <w:pPr>
        <w:pStyle w:val="Heading3"/>
      </w:pPr>
      <w:r>
        <w:t xml:space="preserve">QPR — Question, Persuade, Refer</w:t>
      </w:r>
    </w:p>
    <w:p>
      <w:pPr>
        <w:pStyle w:val="ListParagraph"/>
        <w:numPr>
          <w:ilvl w:val="0"/>
          <w:numId w:val="3"/>
        </w:numPr>
        <w:spacing w:after="50" w:line="270"/>
      </w:pPr>
      <w:r>
        <w:t xml:space="preserve">Question: if you’re genuinely concerned someone may be considering suicide, ask directly and caringly. Asking does not plant the idea — it opens a door.</w:t>
      </w:r>
    </w:p>
    <w:p>
      <w:pPr>
        <w:pStyle w:val="ListParagraph"/>
        <w:numPr>
          <w:ilvl w:val="0"/>
          <w:numId w:val="3"/>
        </w:numPr>
        <w:spacing w:after="50" w:line="270"/>
      </w:pPr>
      <w:r>
        <w:t xml:space="preserve">Persuade: listen without judgment and encourage them to accept help — “Will you let me connect you with someone who can help right now?”</w:t>
      </w:r>
    </w:p>
    <w:p>
      <w:pPr>
        <w:pStyle w:val="ListParagraph"/>
        <w:numPr>
          <w:ilvl w:val="0"/>
          <w:numId w:val="3"/>
        </w:numPr>
        <w:spacing w:after="50" w:line="270"/>
      </w:pPr>
      <w:r>
        <w:t xml:space="preserve">Refer: get them to the right resource — stay with them, call or text 988 together, or call 911 if there’s immediate danger. Don’t leave a person in acute crisis alone.</w:t>
      </w:r>
    </w:p>
    <w:tbl>
      <w:tblPr>
        <w:tblW w:type="dxa" w:w="9360"/>
        <w:tblBorders>
          <w:top w:val="single" w:color="E6E6E6" w:sz="4"/>
          <w:left w:val="single" w:color="7F7F7F"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NOTE</w:t>
            </w:r>
          </w:p>
          <w:p>
            <w:pPr>
              <w:spacing w:after="120" w:line="276"/>
            </w:pPr>
            <w:r>
              <w:t xml:space="preserve">Keep this non-clinical. QPR is a gatekeeper approach for laypeople — it is about connecting, not counseling. Do not have staff probe for methods or details; that is for professionals. If suicide risk is present, the action is: stay, listen, connect to 988/911. Verify the current QPR framing and your local protocol before teaching for credit.</w:t>
            </w:r>
          </w:p>
        </w:tc>
      </w:tr>
    </w:tbl>
    <w:p>
      <w:pPr>
        <w:pStyle w:val="Heading3"/>
      </w:pPr>
      <w:r>
        <w:t xml:space="preserve">Who to call — matching help to the moment</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1900"/>
        <w:gridCol w:w="3760"/>
        <w:gridCol w:w="3700"/>
      </w:tblGrid>
      <w:tr>
        <w:trPr>
          <w:tblHeader/>
        </w:trPr>
        <w:tc>
          <w:tcPr>
            <w:tcW w:type="dxa" w:w="19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Call…</w:t>
            </w:r>
          </w:p>
        </w:tc>
        <w:tc>
          <w:tcPr>
            <w:tcW w:type="dxa" w:w="376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When</w:t>
            </w:r>
          </w:p>
        </w:tc>
        <w:tc>
          <w:tcPr>
            <w:tcW w:type="dxa" w:w="37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Notes</w:t>
            </w:r>
          </w:p>
        </w:tc>
      </w:tr>
      <w:tr>
        <w:tc>
          <w:tcPr>
            <w:tcW w:type="dxa" w:w="19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911</w:t>
            </w:r>
          </w:p>
        </w:tc>
        <w:tc>
          <w:tcPr>
            <w:tcW w:type="dxa" w:w="37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Immediate danger to life/safety, medical emergency, weapon, violence, overdose</w:t>
            </w:r>
          </w:p>
        </w:tc>
        <w:tc>
          <w:tcPr>
            <w:tcW w:type="dxa" w:w="37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State it’s a possible mental-health crisis; ask for trained/CIT response if available</w:t>
            </w:r>
          </w:p>
        </w:tc>
      </w:tr>
      <w:tr>
        <w:tc>
          <w:tcPr>
            <w:tcW w:type="dxa" w:w="19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988</w:t>
            </w:r>
          </w:p>
        </w:tc>
        <w:tc>
          <w:tcPr>
            <w:tcW w:type="dxa" w:w="37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Suicidal thoughts, emotional crisis, someone needs to talk now (no immediate danger)</w:t>
            </w:r>
          </w:p>
        </w:tc>
        <w:tc>
          <w:tcPr>
            <w:tcW w:type="dxa" w:w="37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Suicide &amp; Crisis Lifeline — call or text; you can call on someone’s behalf or together</w:t>
            </w:r>
          </w:p>
        </w:tc>
      </w:tr>
      <w:tr>
        <w:tc>
          <w:tcPr>
            <w:tcW w:type="dxa" w:w="19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Non-emergency</w:t>
            </w:r>
          </w:p>
        </w:tc>
        <w:tc>
          <w:tcPr>
            <w:tcW w:type="dxa" w:w="37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Welfare check, disturbance without immediate danger</w:t>
            </w:r>
          </w:p>
        </w:tc>
        <w:tc>
          <w:tcPr>
            <w:tcW w:type="dxa" w:w="37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Localize the number on your crisis card</w:t>
            </w:r>
          </w:p>
        </w:tc>
      </w:tr>
      <w:tr>
        <w:tc>
          <w:tcPr>
            <w:tcW w:type="dxa" w:w="19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Management / on-call</w:t>
            </w:r>
          </w:p>
        </w:tc>
        <w:tc>
          <w:tcPr>
            <w:tcW w:type="dxa" w:w="37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Any incident, per policy</w:t>
            </w:r>
          </w:p>
        </w:tc>
        <w:tc>
          <w:tcPr>
            <w:tcW w:type="dxa" w:w="37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Notify up the chain; document</w:t>
            </w:r>
          </w:p>
        </w:tc>
      </w:tr>
      <w:tr>
        <w:tc>
          <w:tcPr>
            <w:tcW w:type="dxa" w:w="19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EAP / resources</w:t>
            </w:r>
          </w:p>
        </w:tc>
        <w:tc>
          <w:tcPr>
            <w:tcW w:type="dxa" w:w="37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For a coworker or yourself after the fact</w:t>
            </w:r>
          </w:p>
        </w:tc>
        <w:tc>
          <w:tcPr>
            <w:tcW w:type="dxa" w:w="37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Employee Assistance Program, local services</w:t>
            </w:r>
          </w:p>
        </w:tc>
      </w:tr>
    </w:tbl>
    <w:p>
      <w:pPr>
        <w:pStyle w:val="Heading3"/>
      </w:pPr>
      <w:r>
        <w:t xml:space="preserve">What to say / what to avoid</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4680"/>
        <w:gridCol w:w="4680"/>
      </w:tblGrid>
      <w:tr>
        <w:trPr>
          <w:tblHeader/>
        </w:trPr>
        <w:tc>
          <w:tcPr>
            <w:tcW w:type="dxa" w:w="468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Say this / do this</w:t>
            </w:r>
          </w:p>
        </w:tc>
        <w:tc>
          <w:tcPr>
            <w:tcW w:type="dxa" w:w="4680"/>
            <w:shd w:fill="404040"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Avoid this</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“I’m here with you. Let’s take this one step at a time.”</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“Calm down.” / “You’re overreacting.”</w:t>
            </w:r>
          </w:p>
        </w:tc>
      </w:tr>
      <w:tr>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 want to make sure you’re safe. Can I connect you with someone who can help?”</w:t>
            </w:r>
          </w:p>
        </w:tc>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“There’s nothing to be upset about.”</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 hear you. That sounds really hard.”</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 know exactly how you feel.”</w:t>
            </w:r>
          </w:p>
        </w:tc>
      </w:tr>
      <w:tr>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“I’m not able to fix this, but I can help you reach someone who can.”</w:t>
            </w:r>
          </w:p>
        </w:tc>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“Everything happens for a reason.”</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Silence — letting them talk.</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Filling every pause; arguing; giving advice.</w:t>
            </w:r>
          </w:p>
        </w:tc>
      </w:tr>
      <w:tr>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“You’re not in trouble. I’m concerned about you.”</w:t>
            </w:r>
          </w:p>
        </w:tc>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“If you don’t stop, I’ll have to…” (threats)</w:t>
            </w:r>
          </w:p>
        </w:tc>
      </w:tr>
    </w:tbl>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7F7F7" w:val="clear"/>
            <w:tcMar>
              <w:top w:type="dxa" w:w="120"/>
              <w:left w:type="dxa" w:w="180"/>
              <w:bottom w:type="dxa" w:w="120"/>
              <w:right w:type="dxa" w:w="180"/>
            </w:tcMar>
          </w:tcPr>
          <w:p>
            <w:pPr>
              <w:spacing w:after="60"/>
            </w:pPr>
            <w:r>
              <w:rPr>
                <w:rFonts w:ascii="Cambria" w:cs="Cambria" w:eastAsia="Cambria" w:hAnsi="Cambria"/>
                <w:b/>
                <w:bCs/>
                <w:color w:val="C8102E"/>
                <w:sz w:val="20"/>
                <w:szCs w:val="20"/>
              </w:rPr>
              <w:t xml:space="preserve">ACTIVITY</w:t>
            </w:r>
          </w:p>
          <w:p>
            <w:pPr>
              <w:spacing w:after="120" w:line="276"/>
            </w:pPr>
            <w:r>
              <w:rPr>
                <w:b/>
                <w:bCs/>
              </w:rPr>
              <w:t xml:space="preserve">Role-play (15–20 min). </w:t>
            </w:r>
            <w:r>
              <w:t xml:space="preserve">Trios: responder, resident, observer. Run a distress scenario (Appendix A). Observer uses the checklist (Appendix D). Rotate roles. Debrief what calm presence felt like on both sides.</w:t>
            </w:r>
          </w:p>
        </w:tc>
      </w:tr>
    </w:tbl>
    <w:p>
      <w:pPr>
        <w:pStyle w:val="Heading1"/>
      </w:pPr>
      <w:r>
        <w:t xml:space="preserve">Module 5 — High-Stakes Scenarios</w:t>
      </w:r>
    </w:p>
    <w:p>
      <w:pPr>
        <w:spacing w:after="60" w:before="60"/>
      </w:pPr>
      <w:r>
        <w:rPr>
          <w:rFonts w:ascii="Cambria" w:cs="Cambria" w:eastAsia="Cambria" w:hAnsi="Cambria"/>
          <w:b/>
          <w:bCs/>
          <w:color w:val="C8102E"/>
          <w:sz w:val="19"/>
          <w:szCs w:val="19"/>
        </w:rPr>
        <w:t xml:space="preserve">LEARNING TARGET</w:t>
      </w:r>
    </w:p>
    <w:p>
      <w:pPr>
        <w:spacing w:after="120" w:line="276"/>
      </w:pPr>
      <w:r>
        <w:t xml:space="preserve">Participants practice applying the response framework to the specific, hard situations that occur on properties. Run as many or as few as time allows — full cards with facilitator keys are in Appendix A.</w:t>
      </w:r>
    </w:p>
    <w:p>
      <w:pPr>
        <w:pStyle w:val="ListParagraph"/>
        <w:numPr>
          <w:ilvl w:val="0"/>
          <w:numId w:val="3"/>
        </w:numPr>
        <w:spacing w:after="50" w:line="270"/>
      </w:pPr>
      <w:r>
        <w:t xml:space="preserve">Resident expressing suicidal thoughts</w:t>
      </w:r>
    </w:p>
    <w:p>
      <w:pPr>
        <w:pStyle w:val="ListParagraph"/>
        <w:numPr>
          <w:ilvl w:val="0"/>
          <w:numId w:val="3"/>
        </w:numPr>
        <w:spacing w:after="50" w:line="270"/>
      </w:pPr>
      <w:r>
        <w:t xml:space="preserve">Welfare check / no-contact resident (family calls concerned)</w:t>
      </w:r>
    </w:p>
    <w:p>
      <w:pPr>
        <w:pStyle w:val="ListParagraph"/>
        <w:numPr>
          <w:ilvl w:val="0"/>
          <w:numId w:val="3"/>
        </w:numPr>
        <w:spacing w:after="50" w:line="270"/>
      </w:pPr>
      <w:r>
        <w:t xml:space="preserve">Possible overdose or medical emergency</w:t>
      </w:r>
    </w:p>
    <w:p>
      <w:pPr>
        <w:pStyle w:val="ListParagraph"/>
        <w:numPr>
          <w:ilvl w:val="0"/>
          <w:numId w:val="3"/>
        </w:numPr>
        <w:spacing w:after="50" w:line="270"/>
      </w:pPr>
      <w:r>
        <w:t xml:space="preserve">Domestic-violence disclosure ⚠ (VAWA)</w:t>
      </w:r>
    </w:p>
    <w:p>
      <w:pPr>
        <w:pStyle w:val="ListParagraph"/>
        <w:numPr>
          <w:ilvl w:val="0"/>
          <w:numId w:val="3"/>
        </w:numPr>
        <w:spacing w:after="50" w:line="270"/>
      </w:pPr>
      <w:r>
        <w:t xml:space="preserve">Resident in apparent psychiatric crisis in a common area</w:t>
      </w:r>
    </w:p>
    <w:p>
      <w:pPr>
        <w:pStyle w:val="ListParagraph"/>
        <w:numPr>
          <w:ilvl w:val="0"/>
          <w:numId w:val="3"/>
        </w:numPr>
        <w:spacing w:after="50" w:line="270"/>
      </w:pPr>
      <w:r>
        <w:t xml:space="preserve">Threats or aggression directed at staff</w:t>
      </w:r>
    </w:p>
    <w:p>
      <w:pPr>
        <w:pStyle w:val="ListParagraph"/>
        <w:numPr>
          <w:ilvl w:val="0"/>
          <w:numId w:val="3"/>
        </w:numPr>
        <w:spacing w:after="50" w:line="270"/>
      </w:pPr>
      <w:r>
        <w:t xml:space="preserve">Death of a resident discovered on property</w:t>
      </w:r>
    </w:p>
    <w:p>
      <w:pPr>
        <w:pStyle w:val="ListParagraph"/>
        <w:numPr>
          <w:ilvl w:val="0"/>
          <w:numId w:val="3"/>
        </w:numPr>
        <w:spacing w:after="50" w:line="270"/>
      </w:pPr>
      <w:r>
        <w:t xml:space="preserve">Hoarding intervention ⚠</w:t>
      </w:r>
    </w:p>
    <w:tbl>
      <w:tblPr>
        <w:tblW w:type="dxa" w:w="9360"/>
        <w:tblBorders>
          <w:top w:val="single" w:color="E6E6E6" w:sz="4"/>
          <w:left w:val="single" w:color="7F7F7F"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NOTE</w:t>
            </w:r>
          </w:p>
          <w:p>
            <w:pPr>
              <w:spacing w:after="120" w:line="276"/>
            </w:pPr>
            <w:r>
              <w:t xml:space="preserve">Carousel format works well: post 3–4 scenario cards around the room; pods rotate, draft a response, then compare against the facilitator key. This module is the most cuttable for time — but even one well-debriefed scenario cements the framework.</w:t>
            </w:r>
          </w:p>
        </w:tc>
      </w:tr>
    </w:tbl>
    <w:p>
      <w:pPr>
        <w:pStyle w:val="Heading1"/>
      </w:pPr>
      <w:r>
        <w:t xml:space="preserve">Module 6 — After the Crisis: Documentation, Follow-Up &amp; Recovery ⚠</w:t>
      </w:r>
    </w:p>
    <w:p>
      <w:pPr>
        <w:spacing w:after="60" w:before="60"/>
      </w:pPr>
      <w:r>
        <w:rPr>
          <w:rFonts w:ascii="Cambria" w:cs="Cambria" w:eastAsia="Cambria" w:hAnsi="Cambria"/>
          <w:b/>
          <w:bCs/>
          <w:color w:val="C8102E"/>
          <w:sz w:val="19"/>
          <w:szCs w:val="19"/>
        </w:rPr>
        <w:t xml:space="preserve">LEARNING TARGET</w:t>
      </w:r>
    </w:p>
    <w:p>
      <w:pPr>
        <w:spacing w:after="120" w:line="276"/>
      </w:pPr>
      <w:r>
        <w:t xml:space="preserve">Participants can document defensibly, notify correctly, support resident follow-up, and take part in a healthy debrief.</w:t>
      </w:r>
    </w:p>
    <w:p>
      <w:pPr>
        <w:pStyle w:val="Heading3"/>
      </w:pPr>
      <w:r>
        <w:t xml:space="preserve">Documentation done right</w:t>
      </w:r>
    </w:p>
    <w:p>
      <w:pPr>
        <w:pStyle w:val="ListParagraph"/>
        <w:numPr>
          <w:ilvl w:val="0"/>
          <w:numId w:val="3"/>
        </w:numPr>
        <w:spacing w:after="50" w:line="270"/>
      </w:pPr>
      <w:r>
        <w:t xml:space="preserve">Write facts, timeline, and behavior — who, what, when, where, what was said and done, who was contacted.</w:t>
      </w:r>
    </w:p>
    <w:p>
      <w:pPr>
        <w:pStyle w:val="ListParagraph"/>
        <w:numPr>
          <w:ilvl w:val="0"/>
          <w:numId w:val="3"/>
        </w:numPr>
        <w:spacing w:after="50" w:line="270"/>
      </w:pPr>
      <w:r>
        <w:t xml:space="preserve">⚠ Record behavior, not diagnoses or assumptions. “Resident stated he felt hopeless and I called 988” — not “resident is suicidal/mentally ill.”</w:t>
      </w:r>
    </w:p>
    <w:p>
      <w:pPr>
        <w:pStyle w:val="ListParagraph"/>
        <w:numPr>
          <w:ilvl w:val="0"/>
          <w:numId w:val="3"/>
        </w:numPr>
        <w:spacing w:after="50" w:line="270"/>
      </w:pPr>
      <w:r>
        <w:t xml:space="preserve">Quote when useful; avoid editorializing. Note actions taken and by whom.</w:t>
      </w:r>
    </w:p>
    <w:p>
      <w:pPr>
        <w:pStyle w:val="ListParagraph"/>
        <w:numPr>
          <w:ilvl w:val="0"/>
          <w:numId w:val="3"/>
        </w:numPr>
        <w:spacing w:after="50" w:line="270"/>
      </w:pPr>
      <w:r>
        <w:t xml:space="preserve">Keep health/disability details out of general files; store sensitive information per policy.</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4680"/>
        <w:gridCol w:w="4680"/>
      </w:tblGrid>
      <w:tr>
        <w:trPr>
          <w:tblHeader/>
        </w:trPr>
        <w:tc>
          <w:tcPr>
            <w:tcW w:type="dxa" w:w="468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Say this / do this</w:t>
            </w:r>
          </w:p>
        </w:tc>
        <w:tc>
          <w:tcPr>
            <w:tcW w:type="dxa" w:w="4680"/>
            <w:shd w:fill="404040"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Avoid this</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“Resident’s unit had blocked egress at the rear door (photo attached).”</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“Resident is a hoarder and won’t listen.”</w:t>
            </w:r>
          </w:p>
        </w:tc>
      </w:tr>
      <w:tr>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“Resident said he ‘couldn’t do this anymore’; I stayed with him and called 988.”</w:t>
            </w:r>
          </w:p>
        </w:tc>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“Resident is clearly suicidal and unstable.”</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“Resident raised her voice and left the office at 3:10 pm.”</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“Resident had a breakdown / is crazy.”</w:t>
            </w:r>
          </w:p>
        </w:tc>
      </w:tr>
    </w:tbl>
    <w:p>
      <w:pPr>
        <w:pStyle w:val="Heading3"/>
      </w:pPr>
      <w:r>
        <w:t xml:space="preserve">Notification &amp; follow-up</w:t>
      </w:r>
    </w:p>
    <w:p>
      <w:pPr>
        <w:pStyle w:val="ListParagraph"/>
        <w:numPr>
          <w:ilvl w:val="0"/>
          <w:numId w:val="3"/>
        </w:numPr>
        <w:spacing w:after="50" w:line="270"/>
      </w:pPr>
      <w:r>
        <w:t xml:space="preserve">Notify up the chain per policy; loop in only those who need to know.</w:t>
      </w:r>
    </w:p>
    <w:p>
      <w:pPr>
        <w:pStyle w:val="ListParagraph"/>
        <w:numPr>
          <w:ilvl w:val="0"/>
          <w:numId w:val="3"/>
        </w:numPr>
        <w:spacing w:after="50" w:line="270"/>
      </w:pPr>
      <w:r>
        <w:t xml:space="preserve">Reconnect the resident to services where appropriate; a brief, caring follow-up matters.</w:t>
      </w:r>
    </w:p>
    <w:p>
      <w:pPr>
        <w:pStyle w:val="ListParagraph"/>
        <w:numPr>
          <w:ilvl w:val="0"/>
          <w:numId w:val="3"/>
        </w:numPr>
        <w:spacing w:after="50" w:line="270"/>
      </w:pPr>
      <w:r>
        <w:t xml:space="preserve">Confidentiality continues after the event — the incident is not hallway conversation.</w:t>
      </w:r>
    </w:p>
    <w:p>
      <w:pPr>
        <w:pStyle w:val="Heading3"/>
      </w:pPr>
      <w:r>
        <w:t xml:space="preserve">Team debrief</w:t>
      </w:r>
    </w:p>
    <w:p>
      <w:pPr>
        <w:pStyle w:val="ListParagraph"/>
        <w:numPr>
          <w:ilvl w:val="0"/>
          <w:numId w:val="3"/>
        </w:numPr>
        <w:spacing w:after="50" w:line="270"/>
      </w:pPr>
      <w:r>
        <w:t xml:space="preserve">Do a short, blameless debrief: what happened, what worked, what we’d change, who needs support.</w:t>
      </w:r>
    </w:p>
    <w:p>
      <w:pPr>
        <w:pStyle w:val="ListParagraph"/>
        <w:numPr>
          <w:ilvl w:val="0"/>
          <w:numId w:val="3"/>
        </w:numPr>
        <w:spacing w:after="50" w:line="270"/>
      </w:pPr>
      <w:r>
        <w:t xml:space="preserve">Name the emotional impact — responding to crisis is hard. Point people to EAP proactively.</w:t>
      </w:r>
    </w:p>
    <w:p>
      <w:pPr>
        <w:pStyle w:val="ListParagraph"/>
        <w:numPr>
          <w:ilvl w:val="0"/>
          <w:numId w:val="3"/>
        </w:numPr>
        <w:spacing w:after="50" w:line="270"/>
      </w:pPr>
      <w:r>
        <w:t xml:space="preserve">This is the bridge into Part B: the people who respond to crises are the ones most at risk of burnout.</w:t>
      </w:r>
    </w:p>
    <w:p>
      <w:r>
        <w:br w:type="pag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1A1A1A" w:val="clear"/>
            <w:tcMar>
              <w:top w:type="dxa" w:w="220"/>
              <w:left w:type="dxa" w:w="240"/>
              <w:bottom w:type="dxa" w:w="220"/>
              <w:right w:type="dxa" w:w="240"/>
            </w:tcMar>
          </w:tcPr>
          <w:p>
            <w:pPr>
              <w:spacing w:after="40"/>
            </w:pPr>
            <w:r>
              <w:rPr>
                <w:rFonts w:ascii="Cambria" w:cs="Cambria" w:eastAsia="Cambria" w:hAnsi="Cambria"/>
                <w:b/>
                <w:bCs/>
                <w:color w:val="C8102E"/>
                <w:sz w:val="20"/>
                <w:szCs w:val="20"/>
              </w:rPr>
              <w:t xml:space="preserve">PART B</w:t>
            </w:r>
          </w:p>
          <w:p>
            <w:r>
              <w:rPr>
                <w:rFonts w:ascii="Cambria" w:cs="Cambria" w:eastAsia="Cambria" w:hAnsi="Cambria"/>
                <w:b/>
                <w:bCs/>
                <w:color w:val="FFFFFF"/>
                <w:sz w:val="30"/>
                <w:szCs w:val="30"/>
              </w:rPr>
              <w:t xml:space="preserve">Protecting Yourself: Burnout &amp; Resilience</w:t>
            </w:r>
          </w:p>
        </w:tc>
      </w:tr>
    </w:tbl>
    <w:p>
      <w:pPr>
        <w:spacing w:after="80"/>
      </w:pPr>
      <w:r>
        <w:t xml:space="preserve"/>
      </w:r>
    </w:p>
    <w:p>
      <w:pPr>
        <w:pStyle w:val="Heading1"/>
      </w:pPr>
      <w:r>
        <w:t xml:space="preserve">Module 7 — Understanding Burnout &amp; Vicarious Trauma</w:t>
      </w:r>
    </w:p>
    <w:p>
      <w:pPr>
        <w:spacing w:after="60" w:before="60"/>
      </w:pPr>
      <w:r>
        <w:rPr>
          <w:rFonts w:ascii="Cambria" w:cs="Cambria" w:eastAsia="Cambria" w:hAnsi="Cambria"/>
          <w:b/>
          <w:bCs/>
          <w:color w:val="C8102E"/>
          <w:sz w:val="19"/>
          <w:szCs w:val="19"/>
        </w:rPr>
        <w:t xml:space="preserve">LEARNING TARGET</w:t>
      </w:r>
    </w:p>
    <w:p>
      <w:pPr>
        <w:spacing w:after="120" w:line="276"/>
      </w:pPr>
      <w:r>
        <w:t xml:space="preserve">Participants can define burnout, compassion fatigue, and secondary/vicarious trauma, name multifamily-specific drivers, and recognize their own early signs.</w:t>
      </w:r>
    </w:p>
    <w:p>
      <w:pPr>
        <w:pStyle w:val="Heading3"/>
      </w:pPr>
      <w:r>
        <w:t xml:space="preserve">What burnout actually is</w:t>
      </w:r>
    </w:p>
    <w:p>
      <w:pPr>
        <w:pStyle w:val="ListParagraph"/>
        <w:numPr>
          <w:ilvl w:val="0"/>
          <w:numId w:val="3"/>
        </w:numPr>
        <w:spacing w:after="50" w:line="270"/>
      </w:pPr>
      <w:r>
        <w:t xml:space="preserve">Burnout is a syndrome from chronic workplace stress that hasn’t been managed. Three dimensions (Maslach): emotional exhaustion, cynicism/depersonalization (feeling detached, going numb), and reduced sense of accomplishment.</w:t>
      </w:r>
    </w:p>
    <w:p>
      <w:pPr>
        <w:pStyle w:val="ListParagraph"/>
        <w:numPr>
          <w:ilvl w:val="0"/>
          <w:numId w:val="3"/>
        </w:numPr>
        <w:spacing w:after="50" w:line="270"/>
      </w:pPr>
      <w:r>
        <w:t xml:space="preserve">It is not a personal weakness or a willpower problem — it is largely driven by the conditions of the work.</w:t>
      </w:r>
    </w:p>
    <w:p>
      <w:pPr>
        <w:pStyle w:val="Heading3"/>
      </w:pPr>
      <w:r>
        <w:t xml:space="preserve">Compassion fatigue &amp; secondary/vicarious trauma</w:t>
      </w:r>
    </w:p>
    <w:p>
      <w:pPr>
        <w:pStyle w:val="ListParagraph"/>
        <w:numPr>
          <w:ilvl w:val="0"/>
          <w:numId w:val="3"/>
        </w:numPr>
        <w:spacing w:after="50" w:line="270"/>
      </w:pPr>
      <w:r>
        <w:t xml:space="preserve">Compassion fatigue and secondary traumatic stress come from caring for and being exposed to others’ distress — which is exactly what crisis response asks of onsite staff.</w:t>
      </w:r>
    </w:p>
    <w:p>
      <w:pPr>
        <w:pStyle w:val="ListParagraph"/>
        <w:numPr>
          <w:ilvl w:val="0"/>
          <w:numId w:val="3"/>
        </w:numPr>
        <w:spacing w:after="50" w:line="270"/>
      </w:pPr>
      <w:r>
        <w:t xml:space="preserve">Vicarious trauma can shift how you see the world after repeated exposure to others’ crises. It is an occupational reality for helpers, not a flaw.</w:t>
      </w:r>
    </w:p>
    <w:p>
      <w:pPr>
        <w:pStyle w:val="ListParagraph"/>
        <w:numPr>
          <w:ilvl w:val="0"/>
          <w:numId w:val="3"/>
        </w:numPr>
        <w:spacing w:after="50" w:line="270"/>
      </w:pPr>
      <w:r>
        <w:t xml:space="preserve">This is why Part B follows Part A: doing the work in Part A well makes Part B non-negotiable.</w:t>
      </w:r>
    </w:p>
    <w:p>
      <w:pPr>
        <w:pStyle w:val="Heading3"/>
      </w:pPr>
      <w:r>
        <w:t xml:space="preserve">Multifamily-specific drivers</w:t>
      </w:r>
    </w:p>
    <w:p>
      <w:pPr>
        <w:pStyle w:val="ListParagraph"/>
        <w:numPr>
          <w:ilvl w:val="0"/>
          <w:numId w:val="3"/>
        </w:numPr>
        <w:spacing w:after="50" w:line="270"/>
      </w:pPr>
      <w:r>
        <w:t xml:space="preserve">“Always on”: living onsite or near work, on-call maintenance, after-hours emergencies.</w:t>
      </w:r>
    </w:p>
    <w:p>
      <w:pPr>
        <w:pStyle w:val="ListParagraph"/>
        <w:numPr>
          <w:ilvl w:val="0"/>
          <w:numId w:val="3"/>
        </w:numPr>
        <w:spacing w:after="50" w:line="270"/>
      </w:pPr>
      <w:r>
        <w:t xml:space="preserve">Emotional labor: staying warm and composed through conflict, complaints, and crises all day.</w:t>
      </w:r>
    </w:p>
    <w:p>
      <w:pPr>
        <w:pStyle w:val="ListParagraph"/>
        <w:numPr>
          <w:ilvl w:val="0"/>
          <w:numId w:val="3"/>
        </w:numPr>
        <w:spacing w:after="50" w:line="270"/>
      </w:pPr>
      <w:r>
        <w:t xml:space="preserve">Understaffing and turnover: fewer people carrying the same load.</w:t>
      </w:r>
    </w:p>
    <w:p>
      <w:pPr>
        <w:pStyle w:val="ListParagraph"/>
        <w:numPr>
          <w:ilvl w:val="0"/>
          <w:numId w:val="3"/>
        </w:numPr>
        <w:spacing w:after="50" w:line="270"/>
      </w:pPr>
      <w:r>
        <w:t xml:space="preserve">Physical demands and safety exposure (especially for techs).</w:t>
      </w:r>
    </w:p>
    <w:p>
      <w:pPr>
        <w:pStyle w:val="ListParagraph"/>
        <w:numPr>
          <w:ilvl w:val="0"/>
          <w:numId w:val="3"/>
        </w:numPr>
        <w:spacing w:after="50" w:line="270"/>
      </w:pPr>
      <w:r>
        <w:t xml:space="preserve">Financial-stress conversations: collections, evictions, and the human weight behind them.</w:t>
      </w:r>
    </w:p>
    <w:p>
      <w:pPr>
        <w:pStyle w:val="ListParagraph"/>
        <w:numPr>
          <w:ilvl w:val="0"/>
          <w:numId w:val="3"/>
        </w:numPr>
        <w:spacing w:after="50" w:line="270"/>
      </w:pPr>
      <w:r>
        <w:t xml:space="preserve">Isolation of the manager role; blurred boundaries between resident and friend.</w:t>
      </w:r>
    </w:p>
    <w:p>
      <w:pPr>
        <w:pStyle w:val="Heading3"/>
      </w:pPr>
      <w:r>
        <w:t xml:space="preserve">Early warning signs</w:t>
      </w:r>
    </w:p>
    <w:p>
      <w:pPr>
        <w:pStyle w:val="ListParagraph"/>
        <w:numPr>
          <w:ilvl w:val="0"/>
          <w:numId w:val="3"/>
        </w:numPr>
        <w:spacing w:after="50" w:line="270"/>
      </w:pPr>
      <w:r>
        <w:t xml:space="preserve">Dreading work; irritability; “short fuse” with residents or coworkers.</w:t>
      </w:r>
    </w:p>
    <w:p>
      <w:pPr>
        <w:pStyle w:val="ListParagraph"/>
        <w:numPr>
          <w:ilvl w:val="0"/>
          <w:numId w:val="3"/>
        </w:numPr>
        <w:spacing w:after="50" w:line="270"/>
      </w:pPr>
      <w:r>
        <w:t xml:space="preserve">Exhaustion that sleep doesn’t fix; trouble concentrating; more mistakes.</w:t>
      </w:r>
    </w:p>
    <w:p>
      <w:pPr>
        <w:pStyle w:val="ListParagraph"/>
        <w:numPr>
          <w:ilvl w:val="0"/>
          <w:numId w:val="3"/>
        </w:numPr>
        <w:spacing w:after="50" w:line="270"/>
      </w:pPr>
      <w:r>
        <w:t xml:space="preserve">Numbness or detachment; cynicism (“why bother”).</w:t>
      </w:r>
    </w:p>
    <w:p>
      <w:pPr>
        <w:pStyle w:val="ListParagraph"/>
        <w:numPr>
          <w:ilvl w:val="0"/>
          <w:numId w:val="3"/>
        </w:numPr>
        <w:spacing w:after="50" w:line="270"/>
      </w:pPr>
      <w:r>
        <w:t xml:space="preserve">Physical symptoms; increased use of alcohol or other coping crutches; withdrawing from people.</w:t>
      </w:r>
    </w:p>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7F7F7" w:val="clear"/>
            <w:tcMar>
              <w:top w:type="dxa" w:w="120"/>
              <w:left w:type="dxa" w:w="180"/>
              <w:bottom w:type="dxa" w:w="120"/>
              <w:right w:type="dxa" w:w="180"/>
            </w:tcMar>
          </w:tcPr>
          <w:p>
            <w:pPr>
              <w:spacing w:after="60"/>
            </w:pPr>
            <w:r>
              <w:rPr>
                <w:rFonts w:ascii="Cambria" w:cs="Cambria" w:eastAsia="Cambria" w:hAnsi="Cambria"/>
                <w:b/>
                <w:bCs/>
                <w:color w:val="C8102E"/>
                <w:sz w:val="20"/>
                <w:szCs w:val="20"/>
              </w:rPr>
              <w:t xml:space="preserve">ACTIVITY</w:t>
            </w:r>
          </w:p>
          <w:p>
            <w:pPr>
              <w:spacing w:after="120" w:line="276"/>
            </w:pPr>
            <w:r>
              <w:rPr>
                <w:b/>
                <w:bCs/>
              </w:rPr>
              <w:t xml:space="preserve">Confidential self-assessment (10 min). </w:t>
            </w:r>
            <w:r>
              <w:t xml:space="preserve">Participants complete the burnout self-check (Appendix E) privately — scores stay with them. Debrief only patterns and reactions, never individual results. This models the confidentiality the course preaches.</w:t>
            </w:r>
          </w:p>
        </w:tc>
      </w:tr>
    </w:tbl>
    <w:p>
      <w:pPr>
        <w:pStyle w:val="Heading1"/>
      </w:pPr>
      <w:r>
        <w:t xml:space="preserve">Module 8 — Building Personal Resilience</w:t>
      </w:r>
    </w:p>
    <w:p>
      <w:pPr>
        <w:spacing w:after="60" w:before="60"/>
      </w:pPr>
      <w:r>
        <w:rPr>
          <w:rFonts w:ascii="Cambria" w:cs="Cambria" w:eastAsia="Cambria" w:hAnsi="Cambria"/>
          <w:b/>
          <w:bCs/>
          <w:color w:val="C8102E"/>
          <w:sz w:val="19"/>
          <w:szCs w:val="19"/>
        </w:rPr>
        <w:t xml:space="preserve">LEARNING TARGET</w:t>
      </w:r>
    </w:p>
    <w:p>
      <w:pPr>
        <w:spacing w:after="120" w:line="276"/>
      </w:pPr>
      <w:r>
        <w:t xml:space="preserve">Participants leave with concrete, sustainable strategies and a personal resilience plan.</w:t>
      </w:r>
    </w:p>
    <w:p>
      <w:pPr>
        <w:pStyle w:val="Heading3"/>
      </w:pPr>
      <w:r>
        <w:t xml:space="preserve">Boundaries &amp; role clarity</w:t>
      </w:r>
    </w:p>
    <w:p>
      <w:pPr>
        <w:pStyle w:val="ListParagraph"/>
        <w:numPr>
          <w:ilvl w:val="0"/>
          <w:numId w:val="3"/>
        </w:numPr>
        <w:spacing w:after="50" w:line="270"/>
      </w:pPr>
      <w:r>
        <w:t xml:space="preserve">“Connector, not clinician” protects you too — you are not responsible for outcomes you can’t control.</w:t>
      </w:r>
    </w:p>
    <w:p>
      <w:pPr>
        <w:pStyle w:val="ListParagraph"/>
        <w:numPr>
          <w:ilvl w:val="0"/>
          <w:numId w:val="3"/>
        </w:numPr>
        <w:spacing w:after="50" w:line="270"/>
      </w:pPr>
      <w:r>
        <w:t xml:space="preserve">Protect off-hours: define when you’re reachable and hold it. Use the chain of command instead of absorbing everything.</w:t>
      </w:r>
    </w:p>
    <w:p>
      <w:pPr>
        <w:pStyle w:val="ListParagraph"/>
        <w:numPr>
          <w:ilvl w:val="0"/>
          <w:numId w:val="3"/>
        </w:numPr>
        <w:spacing w:after="50" w:line="270"/>
      </w:pPr>
      <w:r>
        <w:t xml:space="preserve">It’s okay to hand off, to say “I’ve reached the edge of what I can do,” and to ask for backup.</w:t>
      </w:r>
    </w:p>
    <w:p>
      <w:pPr>
        <w:pStyle w:val="Heading3"/>
      </w:pPr>
      <w:r>
        <w:t xml:space="preserve">Recovery practices (general wellness, not prescriptions)</w:t>
      </w:r>
    </w:p>
    <w:p>
      <w:pPr>
        <w:pStyle w:val="ListParagraph"/>
        <w:numPr>
          <w:ilvl w:val="0"/>
          <w:numId w:val="3"/>
        </w:numPr>
        <w:spacing w:after="50" w:line="270"/>
      </w:pPr>
      <w:r>
        <w:t xml:space="preserve">Protect sleep, movement, and real breaks — the basics are the foundation, not a luxury.</w:t>
      </w:r>
    </w:p>
    <w:p>
      <w:pPr>
        <w:pStyle w:val="ListParagraph"/>
        <w:numPr>
          <w:ilvl w:val="0"/>
          <w:numId w:val="3"/>
        </w:numPr>
        <w:spacing w:after="50" w:line="270"/>
      </w:pPr>
      <w:r>
        <w:t xml:space="preserve">Decompress deliberately after hard interactions: a few minutes of grounding, a short walk, stepping outside.</w:t>
      </w:r>
    </w:p>
    <w:p>
      <w:pPr>
        <w:pStyle w:val="ListParagraph"/>
        <w:numPr>
          <w:ilvl w:val="0"/>
          <w:numId w:val="3"/>
        </w:numPr>
        <w:spacing w:after="50" w:line="270"/>
      </w:pPr>
      <w:r>
        <w:t xml:space="preserve">Use grounding/breathing techniques to reset between calls; brief practice on how in session.</w:t>
      </w:r>
    </w:p>
    <w:p>
      <w:pPr>
        <w:pStyle w:val="ListParagraph"/>
        <w:numPr>
          <w:ilvl w:val="0"/>
          <w:numId w:val="3"/>
        </w:numPr>
        <w:spacing w:after="50" w:line="270"/>
      </w:pPr>
      <w:r>
        <w:t xml:space="preserve">Keep connections that have nothing to do with work.</w:t>
      </w:r>
    </w:p>
    <w:p>
      <w:pPr>
        <w:pStyle w:val="Heading3"/>
      </w:pPr>
      <w:r>
        <w:t xml:space="preserve">Support &amp; knowing when to reach for more</w:t>
      </w:r>
    </w:p>
    <w:p>
      <w:pPr>
        <w:pStyle w:val="ListParagraph"/>
        <w:numPr>
          <w:ilvl w:val="0"/>
          <w:numId w:val="3"/>
        </w:numPr>
        <w:spacing w:after="50" w:line="270"/>
      </w:pPr>
      <w:r>
        <w:t xml:space="preserve">Peer support: normalize checking in with each other; a two-minute “you okay?” matters.</w:t>
      </w:r>
    </w:p>
    <w:p>
      <w:pPr>
        <w:pStyle w:val="ListParagraph"/>
        <w:numPr>
          <w:ilvl w:val="0"/>
          <w:numId w:val="3"/>
        </w:numPr>
        <w:spacing w:after="50" w:line="270"/>
      </w:pPr>
      <w:r>
        <w:t xml:space="preserve">Use your EAP — most people forget it exists. It’s confidential and it’s already paid for.</w:t>
      </w:r>
    </w:p>
    <w:p>
      <w:pPr>
        <w:pStyle w:val="ListParagraph"/>
        <w:numPr>
          <w:ilvl w:val="0"/>
          <w:numId w:val="3"/>
        </w:numPr>
        <w:spacing w:after="50" w:line="270"/>
      </w:pPr>
      <w:r>
        <w:t xml:space="preserve">Seeking professional help is a strength, not a last resort. If low mood, anxiety, or numbness is persistent, reach out — the same way you’d tell a resident to.</w:t>
      </w:r>
    </w:p>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7F7F7" w:val="clear"/>
            <w:tcMar>
              <w:top w:type="dxa" w:w="120"/>
              <w:left w:type="dxa" w:w="180"/>
              <w:bottom w:type="dxa" w:w="120"/>
              <w:right w:type="dxa" w:w="180"/>
            </w:tcMar>
          </w:tcPr>
          <w:p>
            <w:pPr>
              <w:spacing w:after="60"/>
            </w:pPr>
            <w:r>
              <w:rPr>
                <w:rFonts w:ascii="Cambria" w:cs="Cambria" w:eastAsia="Cambria" w:hAnsi="Cambria"/>
                <w:b/>
                <w:bCs/>
                <w:color w:val="C8102E"/>
                <w:sz w:val="20"/>
                <w:szCs w:val="20"/>
              </w:rPr>
              <w:t xml:space="preserve">ACTIVITY</w:t>
            </w:r>
          </w:p>
          <w:p>
            <w:pPr>
              <w:spacing w:after="120" w:line="276"/>
            </w:pPr>
            <w:r>
              <w:rPr>
                <w:b/>
                <w:bCs/>
              </w:rPr>
              <w:t xml:space="preserve">Personal resilience plan (10 min). </w:t>
            </w:r>
            <w:r>
              <w:t xml:space="preserve">Using Appendix F, each person picks: one boundary to hold, one recovery practice to protect, one support to use, and one early-warning sign to watch for. Pair-share one commitment (only what they choose to share).</w:t>
            </w:r>
          </w:p>
        </w:tc>
      </w:tr>
    </w:tbl>
    <w:p>
      <w:pPr>
        <w:pStyle w:val="Heading1"/>
      </w:pPr>
      <w:r>
        <w:t xml:space="preserve">Module 9 — Building a Resilient Team (Supervisor Track)</w:t>
      </w:r>
    </w:p>
    <w:p>
      <w:pPr>
        <w:spacing w:after="60" w:before="60"/>
      </w:pPr>
      <w:r>
        <w:rPr>
          <w:rFonts w:ascii="Cambria" w:cs="Cambria" w:eastAsia="Cambria" w:hAnsi="Cambria"/>
          <w:b/>
          <w:bCs/>
          <w:color w:val="C8102E"/>
          <w:sz w:val="19"/>
          <w:szCs w:val="19"/>
        </w:rPr>
        <w:t xml:space="preserve">LEARNING TARGET — APM / PM / RM</w:t>
      </w:r>
    </w:p>
    <w:p>
      <w:pPr>
        <w:spacing w:after="120" w:line="276"/>
      </w:pPr>
      <w:r>
        <w:t xml:space="preserve">Supervisors can create conditions where staff stay well: psychological safety, workload management, recognition, and post-incident support. Run as a breakout or a separate supervisor session.</w:t>
      </w:r>
    </w:p>
    <w:p>
      <w:pPr>
        <w:pStyle w:val="Heading3"/>
      </w:pPr>
      <w:r>
        <w:t xml:space="preserve">The leader’s leverage</w:t>
      </w:r>
    </w:p>
    <w:p>
      <w:pPr>
        <w:pStyle w:val="ListParagraph"/>
        <w:numPr>
          <w:ilvl w:val="0"/>
          <w:numId w:val="3"/>
        </w:numPr>
        <w:spacing w:after="50" w:line="270"/>
      </w:pPr>
      <w:r>
        <w:t xml:space="preserve">Burnout is mostly organizational, so leaders have the most leverage — not through pep talks, but through conditions: workload, control, reward, community, fairness, and values.</w:t>
      </w:r>
    </w:p>
    <w:p>
      <w:pPr>
        <w:pStyle w:val="ListParagraph"/>
        <w:numPr>
          <w:ilvl w:val="0"/>
          <w:numId w:val="3"/>
        </w:numPr>
        <w:spacing w:after="50" w:line="270"/>
      </w:pPr>
      <w:r>
        <w:t xml:space="preserve">Psychological safety: people speak up about mistakes, near-misses, and their own limits without fear. This is a safety issue, a retention issue, and a compliance issue.</w:t>
      </w:r>
    </w:p>
    <w:p>
      <w:pPr>
        <w:pStyle w:val="Heading3"/>
      </w:pPr>
      <w:r>
        <w:t xml:space="preserve">Practical moves</w:t>
      </w:r>
    </w:p>
    <w:p>
      <w:pPr>
        <w:pStyle w:val="ListParagraph"/>
        <w:numPr>
          <w:ilvl w:val="0"/>
          <w:numId w:val="3"/>
        </w:numPr>
        <w:spacing w:after="50" w:line="270"/>
      </w:pPr>
      <w:r>
        <w:t xml:space="preserve">Watch workload and staffing; redistribute during crunch and after major incidents.</w:t>
      </w:r>
    </w:p>
    <w:p>
      <w:pPr>
        <w:pStyle w:val="ListParagraph"/>
        <w:numPr>
          <w:ilvl w:val="0"/>
          <w:numId w:val="3"/>
        </w:numPr>
        <w:spacing w:after="50" w:line="270"/>
      </w:pPr>
      <w:r>
        <w:t xml:space="preserve">Debrief every serious incident and check on the people who responded — by name.</w:t>
      </w:r>
    </w:p>
    <w:p>
      <w:pPr>
        <w:pStyle w:val="ListParagraph"/>
        <w:numPr>
          <w:ilvl w:val="0"/>
          <w:numId w:val="3"/>
        </w:numPr>
        <w:spacing w:after="50" w:line="270"/>
      </w:pPr>
      <w:r>
        <w:t xml:space="preserve">Promote the EAP repeatedly and normalize using it; model taking real time off.</w:t>
      </w:r>
    </w:p>
    <w:p>
      <w:pPr>
        <w:pStyle w:val="ListParagraph"/>
        <w:numPr>
          <w:ilvl w:val="0"/>
          <w:numId w:val="3"/>
        </w:numPr>
        <w:spacing w:after="50" w:line="270"/>
      </w:pPr>
      <w:r>
        <w:t xml:space="preserve">Recognize the emotional labor, not just the leasing numbers.</w:t>
      </w:r>
    </w:p>
    <w:p>
      <w:pPr>
        <w:pStyle w:val="ListParagraph"/>
        <w:numPr>
          <w:ilvl w:val="0"/>
          <w:numId w:val="3"/>
        </w:numPr>
        <w:spacing w:after="50" w:line="270"/>
      </w:pPr>
      <w:r>
        <w:t xml:space="preserve">Model boundaries: if you email at midnight, your team hears “be on at midnight.”</w:t>
      </w:r>
    </w:p>
    <w:p>
      <w:pPr>
        <w:pStyle w:val="ListParagraph"/>
        <w:numPr>
          <w:ilvl w:val="0"/>
          <w:numId w:val="3"/>
        </w:numPr>
        <w:spacing w:after="50" w:line="270"/>
      </w:pPr>
      <w:r>
        <w:t xml:space="preserve">Learn to spot team-level burnout: rising errors, absence, turnover, tension, gallows humor.</w:t>
      </w:r>
    </w:p>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BEAEC" w:val="clear"/>
            <w:tcMar>
              <w:top w:type="dxa" w:w="120"/>
              <w:left w:type="dxa" w:w="180"/>
              <w:bottom w:type="dxa" w:w="120"/>
              <w:right w:type="dxa" w:w="180"/>
            </w:tcMar>
          </w:tcPr>
          <w:p>
            <w:pPr>
              <w:spacing w:after="60"/>
            </w:pPr>
            <w:r>
              <w:rPr>
                <w:rFonts w:ascii="Cambria" w:cs="Cambria" w:eastAsia="Cambria" w:hAnsi="Cambria"/>
                <w:b/>
                <w:bCs/>
                <w:color w:val="8A0F1F"/>
                <w:sz w:val="20"/>
                <w:szCs w:val="20"/>
              </w:rPr>
              <w:t xml:space="preserve">⚠ FAIR HOUSING WATCH-OUT</w:t>
            </w:r>
          </w:p>
          <w:p>
            <w:pPr>
              <w:spacing w:after="120" w:line="276"/>
            </w:pPr>
            <w:r>
              <w:t xml:space="preserve">Supervisors set the tone for compliant crisis response. A rushed, fear-driven, or stigmatizing team culture produces exactly the interactions that create Fair Housing exposure. Wellbeing and compliance are the same project.</w:t>
            </w:r>
          </w:p>
        </w:tc>
      </w:tr>
    </w:tbl>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7F7F7" w:val="clear"/>
            <w:tcMar>
              <w:top w:type="dxa" w:w="120"/>
              <w:left w:type="dxa" w:w="180"/>
              <w:bottom w:type="dxa" w:w="120"/>
              <w:right w:type="dxa" w:w="180"/>
            </w:tcMar>
          </w:tcPr>
          <w:p>
            <w:pPr>
              <w:spacing w:after="60"/>
            </w:pPr>
            <w:r>
              <w:rPr>
                <w:rFonts w:ascii="Cambria" w:cs="Cambria" w:eastAsia="Cambria" w:hAnsi="Cambria"/>
                <w:b/>
                <w:bCs/>
                <w:color w:val="C8102E"/>
                <w:sz w:val="20"/>
                <w:szCs w:val="20"/>
              </w:rPr>
              <w:t xml:space="preserve">ACTIVITY</w:t>
            </w:r>
          </w:p>
          <w:p>
            <w:pPr>
              <w:spacing w:after="120" w:line="276"/>
            </w:pPr>
            <w:r>
              <w:rPr>
                <w:b/>
                <w:bCs/>
              </w:rPr>
              <w:t xml:space="preserve">Team resilience audit (12 min). </w:t>
            </w:r>
            <w:r>
              <w:t xml:space="preserve">Supervisors rate their site across six drivers (workload, control, reward, community, fairness, values), pick the weakest one, and commit to one concrete change in the next 30 days.</w:t>
            </w:r>
          </w:p>
        </w:tc>
      </w:tr>
    </w:tbl>
    <w:p>
      <w:pPr>
        <w:pStyle w:val="Heading1"/>
      </w:pPr>
      <w:r>
        <w:t xml:space="preserve">Module 10 — Action Planning, Resources &amp; Close</w:t>
      </w:r>
    </w:p>
    <w:p>
      <w:pPr>
        <w:spacing w:after="60" w:before="60"/>
      </w:pPr>
      <w:r>
        <w:rPr>
          <w:rFonts w:ascii="Cambria" w:cs="Cambria" w:eastAsia="Cambria" w:hAnsi="Cambria"/>
          <w:b/>
          <w:bCs/>
          <w:color w:val="C8102E"/>
          <w:sz w:val="19"/>
          <w:szCs w:val="19"/>
        </w:rPr>
        <w:t xml:space="preserve">LEARNING TARGET</w:t>
      </w:r>
    </w:p>
    <w:p>
      <w:pPr>
        <w:spacing w:after="120" w:line="276"/>
      </w:pPr>
      <w:r>
        <w:t xml:space="preserve">Participants commit to specific next steps and leave knowing exactly where to turn — for residents and for themselves.</w:t>
      </w:r>
    </w:p>
    <w:p>
      <w:pPr>
        <w:pStyle w:val="ListParagraph"/>
        <w:numPr>
          <w:ilvl w:val="0"/>
          <w:numId w:val="3"/>
        </w:numPr>
        <w:spacing w:after="50" w:line="270"/>
      </w:pPr>
      <w:r>
        <w:t xml:space="preserve">Personal commitments: one thing I’ll do differently for residents; one thing I’ll do to protect myself.</w:t>
      </w:r>
    </w:p>
    <w:p>
      <w:pPr>
        <w:pStyle w:val="ListParagraph"/>
        <w:numPr>
          <w:ilvl w:val="0"/>
          <w:numId w:val="3"/>
        </w:numPr>
        <w:spacing w:after="50" w:line="270"/>
      </w:pPr>
      <w:r>
        <w:t xml:space="preserve">Team commitments (supervisors): one change to make the site safer and more sustainable.</w:t>
      </w:r>
    </w:p>
    <w:p>
      <w:pPr>
        <w:pStyle w:val="ListParagraph"/>
        <w:numPr>
          <w:ilvl w:val="0"/>
          <w:numId w:val="3"/>
        </w:numPr>
        <w:spacing w:after="50" w:line="270"/>
      </w:pPr>
      <w:r>
        <w:t xml:space="preserve">Localize and pocket the crisis-contact card (Appendix D). If it isn’t in your pocket, it doesn’t help at 9 pm.</w:t>
      </w:r>
    </w:p>
    <w:p>
      <w:pPr>
        <w:pStyle w:val="ListParagraph"/>
        <w:numPr>
          <w:ilvl w:val="0"/>
          <w:numId w:val="3"/>
        </w:numPr>
        <w:spacing w:after="50" w:line="270"/>
      </w:pPr>
      <w:r>
        <w:t xml:space="preserve">Reinforce the through-line: notice, respond safely, connect to help, document facts, protect yourself.</w:t>
      </w:r>
    </w:p>
    <w:tbl>
      <w:tblPr>
        <w:tblW w:type="dxa" w:w="9360"/>
        <w:tblBorders>
          <w:top w:val="single" w:color="E6E6E6" w:sz="4"/>
          <w:left w:val="single" w:color="7F7F7F"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NOTE</w:t>
            </w:r>
          </w:p>
          <w:p>
            <w:pPr>
              <w:spacing w:after="120" w:line="276"/>
            </w:pPr>
            <w:r>
              <w:t xml:space="preserve">Close on dignity and sustainability: we do this work because homes and people matter — and we can only keep doing it if we take care of the people doing it.</w:t>
            </w:r>
          </w:p>
        </w:tc>
      </w:tr>
    </w:tbl>
    <w:p>
      <w:r>
        <w:br w:type="pag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1A1A1A" w:val="clear"/>
            <w:tcMar>
              <w:top w:type="dxa" w:w="220"/>
              <w:left w:type="dxa" w:w="240"/>
              <w:bottom w:type="dxa" w:w="220"/>
              <w:right w:type="dxa" w:w="240"/>
            </w:tcMar>
          </w:tcPr>
          <w:p>
            <w:pPr>
              <w:spacing w:after="40"/>
            </w:pPr>
            <w:r>
              <w:rPr>
                <w:rFonts w:ascii="Cambria" w:cs="Cambria" w:eastAsia="Cambria" w:hAnsi="Cambria"/>
                <w:b/>
                <w:bCs/>
                <w:color w:val="C8102E"/>
                <w:sz w:val="20"/>
                <w:szCs w:val="20"/>
              </w:rPr>
              <w:t xml:space="preserve">APPENDICES</w:t>
            </w:r>
          </w:p>
          <w:p>
            <w:r>
              <w:rPr>
                <w:rFonts w:ascii="Cambria" w:cs="Cambria" w:eastAsia="Cambria" w:hAnsi="Cambria"/>
                <w:b/>
                <w:bCs/>
                <w:color w:val="FFFFFF"/>
                <w:sz w:val="30"/>
                <w:szCs w:val="30"/>
              </w:rPr>
              <w:t xml:space="preserve">Facilitator &amp; Participant Resources</w:t>
            </w:r>
          </w:p>
        </w:tc>
      </w:tr>
    </w:tbl>
    <w:p>
      <w:pPr>
        <w:spacing w:after="80"/>
      </w:pPr>
      <w:r>
        <w:t xml:space="preserve"/>
      </w:r>
    </w:p>
    <w:p>
      <w:pPr>
        <w:pStyle w:val="Heading1"/>
      </w:pPr>
      <w:r>
        <w:t xml:space="preserve">Appendix A — Scenario Cards (with Facilitator Keys)</w:t>
      </w:r>
    </w:p>
    <w:p>
      <w:pPr>
        <w:spacing w:after="120" w:line="276"/>
      </w:pPr>
      <w:r>
        <w:t xml:space="preserve">Print one per card. Each includes setup, the responder’s goal, do/don’t moves, a Fair Housing watch-out, an escalation trigger, an optional difficulty twist, and a facilitator key. Adapt names and details to your portfolio.</w:t>
      </w:r>
    </w:p>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FFFFF" w:val="clear"/>
            <w:tcMar>
              <w:top w:type="dxa" w:w="140"/>
              <w:left w:type="dxa" w:w="180"/>
              <w:bottom w:type="dxa" w:w="140"/>
              <w:right w:type="dxa" w:w="180"/>
            </w:tcMar>
          </w:tcPr>
          <w:p>
            <w:pPr>
              <w:spacing w:after="80"/>
            </w:pPr>
            <w:r>
              <w:rPr>
                <w:rFonts w:ascii="Cambria" w:cs="Cambria" w:eastAsia="Cambria" w:hAnsi="Cambria"/>
                <w:b/>
                <w:bCs/>
                <w:color w:val="C8102E"/>
                <w:sz w:val="22"/>
                <w:szCs w:val="22"/>
              </w:rPr>
              <w:t xml:space="preserve">SCENARIO 1  </w:t>
            </w:r>
            <w:r>
              <w:rPr>
                <w:rFonts w:ascii="Cambria" w:cs="Cambria" w:eastAsia="Cambria" w:hAnsi="Cambria"/>
                <w:b/>
                <w:bCs/>
                <w:color w:val="1A1A1A"/>
                <w:sz w:val="22"/>
                <w:szCs w:val="22"/>
              </w:rPr>
              <w:t xml:space="preserve">Resident Expressing Suicidal Thoughts</w:t>
            </w:r>
          </w:p>
          <w:p>
            <w:pPr>
              <w:spacing w:after="40" w:line="264"/>
            </w:pPr>
            <w:r>
              <w:rPr>
                <w:b/>
                <w:bCs/>
                <w:color w:val="404040"/>
                <w:sz w:val="20"/>
                <w:szCs w:val="20"/>
              </w:rPr>
              <w:t xml:space="preserve">Setup: </w:t>
            </w:r>
            <w:r>
              <w:rPr>
                <w:sz w:val="20"/>
                <w:szCs w:val="20"/>
              </w:rPr>
              <w:t xml:space="preserve">During a maintenance visit, a resident becomes tearful and says he “can’t do this anymore” and “everyone would be better off” without him.</w:t>
            </w:r>
          </w:p>
          <w:p>
            <w:pPr>
              <w:spacing w:after="40" w:line="264"/>
            </w:pPr>
            <w:r>
              <w:rPr>
                <w:b/>
                <w:bCs/>
                <w:color w:val="404040"/>
                <w:sz w:val="20"/>
                <w:szCs w:val="20"/>
              </w:rPr>
              <w:t xml:space="preserve">Your goal: </w:t>
            </w:r>
            <w:r>
              <w:rPr>
                <w:sz w:val="20"/>
                <w:szCs w:val="20"/>
              </w:rPr>
              <w:t xml:space="preserve">Keep him safe and connected to help — do not counsel or leave him alone.</w:t>
            </w:r>
          </w:p>
          <w:p>
            <w:pPr>
              <w:spacing w:after="20"/>
            </w:pPr>
            <w:r>
              <w:rPr>
                <w:b/>
                <w:bCs/>
                <w:color w:val="404040"/>
                <w:sz w:val="20"/>
                <w:szCs w:val="20"/>
              </w:rPr>
              <w:t xml:space="preserve">Do:</w:t>
            </w:r>
          </w:p>
          <w:p>
            <w:pPr>
              <w:pStyle w:val="ListParagraph"/>
              <w:numPr>
                <w:ilvl w:val="0"/>
                <w:numId w:val="3"/>
              </w:numPr>
              <w:spacing w:after="30" w:line="264"/>
            </w:pPr>
            <w:r>
              <w:t xml:space="preserve">Stay calm and present; sit down, slow your pace.</w:t>
            </w:r>
          </w:p>
          <w:p>
            <w:pPr>
              <w:pStyle w:val="ListParagraph"/>
              <w:numPr>
                <w:ilvl w:val="0"/>
                <w:numId w:val="3"/>
              </w:numPr>
              <w:spacing w:after="30" w:line="264"/>
            </w:pPr>
            <w:r>
              <w:t xml:space="preserve">Listen without judgment; reflect back what you hear.</w:t>
            </w:r>
          </w:p>
          <w:p>
            <w:pPr>
              <w:pStyle w:val="ListParagraph"/>
              <w:numPr>
                <w:ilvl w:val="0"/>
                <w:numId w:val="3"/>
              </w:numPr>
              <w:spacing w:after="30" w:line="264"/>
            </w:pPr>
            <w:r>
              <w:t xml:space="preserve">Ask caringly if he’s thinking about suicide (QPR).</w:t>
            </w:r>
          </w:p>
          <w:p>
            <w:pPr>
              <w:pStyle w:val="ListParagraph"/>
              <w:numPr>
                <w:ilvl w:val="0"/>
                <w:numId w:val="3"/>
              </w:numPr>
              <w:spacing w:after="30" w:line="264"/>
            </w:pPr>
            <w:r>
              <w:t xml:space="preserve">Offer to call/text 988 together; stay until help is engaged.</w:t>
            </w:r>
          </w:p>
          <w:p>
            <w:pPr>
              <w:pStyle w:val="ListParagraph"/>
              <w:numPr>
                <w:ilvl w:val="0"/>
                <w:numId w:val="3"/>
              </w:numPr>
              <w:spacing w:after="30" w:line="264"/>
            </w:pPr>
            <w:r>
              <w:t xml:space="preserve">Call 911 if there’s any immediate danger.</w:t>
            </w:r>
          </w:p>
          <w:p>
            <w:pPr>
              <w:spacing w:after="20"/>
            </w:pPr>
            <w:r>
              <w:rPr>
                <w:b/>
                <w:bCs/>
                <w:color w:val="404040"/>
                <w:sz w:val="20"/>
                <w:szCs w:val="20"/>
              </w:rPr>
              <w:t xml:space="preserve">Don’t:</w:t>
            </w:r>
          </w:p>
          <w:p>
            <w:pPr>
              <w:pStyle w:val="ListParagraph"/>
              <w:numPr>
                <w:ilvl w:val="0"/>
                <w:numId w:val="3"/>
              </w:numPr>
              <w:spacing w:after="30" w:line="264"/>
            </w:pPr>
            <w:r>
              <w:t xml:space="preserve">Minimize (“you’ve got so much to live for”), argue, or lecture.</w:t>
            </w:r>
          </w:p>
          <w:p>
            <w:pPr>
              <w:pStyle w:val="ListParagraph"/>
              <w:numPr>
                <w:ilvl w:val="0"/>
                <w:numId w:val="3"/>
              </w:numPr>
              <w:spacing w:after="30" w:line="264"/>
            </w:pPr>
            <w:r>
              <w:t xml:space="preserve">Probe for methods/details — that’s for professionals.</w:t>
            </w:r>
          </w:p>
          <w:p>
            <w:pPr>
              <w:pStyle w:val="ListParagraph"/>
              <w:numPr>
                <w:ilvl w:val="0"/>
                <w:numId w:val="3"/>
              </w:numPr>
              <w:spacing w:after="30" w:line="264"/>
            </w:pPr>
            <w:r>
              <w:t xml:space="preserve">Promise secrecy you can’t keep; leave him alone; rush out.</w:t>
            </w:r>
          </w:p>
          <w:p>
            <w:pPr>
              <w:spacing w:after="40" w:line="264"/>
            </w:pPr>
            <w:r>
              <w:rPr>
                <w:b/>
                <w:bCs/>
                <w:color w:val="404040"/>
                <w:sz w:val="20"/>
                <w:szCs w:val="20"/>
              </w:rPr>
              <w:t xml:space="preserve">⚠ Fair Housing: </w:t>
            </w:r>
            <w:r>
              <w:rPr>
                <w:sz w:val="20"/>
                <w:szCs w:val="20"/>
              </w:rPr>
              <w:t xml:space="preserve">Respond to the person’s need for help; never let this become a basis for adverse housing action. Keep health details confidential.</w:t>
            </w:r>
          </w:p>
          <w:p>
            <w:pPr>
              <w:spacing w:after="40" w:line="264"/>
            </w:pPr>
            <w:r>
              <w:rPr>
                <w:b/>
                <w:bCs/>
                <w:color w:val="404040"/>
                <w:sz w:val="20"/>
                <w:szCs w:val="20"/>
              </w:rPr>
              <w:t xml:space="preserve">Escalate when: </w:t>
            </w:r>
            <w:r>
              <w:rPr>
                <w:sz w:val="20"/>
                <w:szCs w:val="20"/>
              </w:rPr>
              <w:t xml:space="preserve">Any immediate danger → 911. Otherwise 988 + notify management per policy.</w:t>
            </w:r>
          </w:p>
          <w:p>
            <w:pPr>
              <w:spacing w:after="40" w:line="264"/>
            </w:pPr>
            <w:r>
              <w:rPr>
                <w:b/>
                <w:bCs/>
                <w:color w:val="404040"/>
                <w:sz w:val="20"/>
                <w:szCs w:val="20"/>
              </w:rPr>
              <w:t xml:space="preserve">Twist (advanced): </w:t>
            </w:r>
            <w:r>
              <w:rPr>
                <w:sz w:val="20"/>
                <w:szCs w:val="20"/>
              </w:rPr>
              <w:t xml:space="preserve">He asks you not to tell anyone and starts to leave.</w:t>
            </w:r>
          </w:p>
        </w:tc>
      </w:tr>
    </w:tbl>
    <w:tbl>
      <w:tblPr>
        <w:tblW w:type="dxa" w:w="9360"/>
        <w:tblBorders>
          <w:top w:val="single" w:color="E6E6E6" w:sz="4"/>
          <w:left w:val="single" w:color="1A1A1A"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KEY</w:t>
            </w:r>
          </w:p>
          <w:p>
            <w:pPr>
              <w:spacing w:after="120" w:line="276"/>
            </w:pPr>
            <w:r>
              <w:rPr>
                <w:b/>
                <w:bCs/>
              </w:rPr>
              <w:t xml:space="preserve">Debrief points: </w:t>
            </w:r>
            <w:r>
              <w:t xml:space="preserve">Asking directly does not increase risk. “Stay, listen, connect” is the whole job. Watch for the urge to fix or flee. Confidentiality has a safety exception — be honest and caring about it.</w:t>
            </w:r>
          </w:p>
        </w:tc>
      </w:tr>
    </w:tbl>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FFFFF" w:val="clear"/>
            <w:tcMar>
              <w:top w:type="dxa" w:w="140"/>
              <w:left w:type="dxa" w:w="180"/>
              <w:bottom w:type="dxa" w:w="140"/>
              <w:right w:type="dxa" w:w="180"/>
            </w:tcMar>
          </w:tcPr>
          <w:p>
            <w:pPr>
              <w:spacing w:after="80"/>
            </w:pPr>
            <w:r>
              <w:rPr>
                <w:rFonts w:ascii="Cambria" w:cs="Cambria" w:eastAsia="Cambria" w:hAnsi="Cambria"/>
                <w:b/>
                <w:bCs/>
                <w:color w:val="C8102E"/>
                <w:sz w:val="22"/>
                <w:szCs w:val="22"/>
              </w:rPr>
              <w:t xml:space="preserve">SCENARIO 2  </w:t>
            </w:r>
            <w:r>
              <w:rPr>
                <w:rFonts w:ascii="Cambria" w:cs="Cambria" w:eastAsia="Cambria" w:hAnsi="Cambria"/>
                <w:b/>
                <w:bCs/>
                <w:color w:val="1A1A1A"/>
                <w:sz w:val="22"/>
                <w:szCs w:val="22"/>
              </w:rPr>
              <w:t xml:space="preserve">Welfare Check / No-Contact Resident</w:t>
            </w:r>
          </w:p>
          <w:p>
            <w:pPr>
              <w:spacing w:after="40" w:line="264"/>
            </w:pPr>
            <w:r>
              <w:rPr>
                <w:b/>
                <w:bCs/>
                <w:color w:val="404040"/>
                <w:sz w:val="20"/>
                <w:szCs w:val="20"/>
              </w:rPr>
              <w:t xml:space="preserve">Setup: </w:t>
            </w:r>
            <w:r>
              <w:rPr>
                <w:sz w:val="20"/>
                <w:szCs w:val="20"/>
              </w:rPr>
              <w:t xml:space="preserve">A family member calls, worried they can’t reach an elderly resident who “hasn’t answered in days.”</w:t>
            </w:r>
          </w:p>
          <w:p>
            <w:pPr>
              <w:spacing w:after="40" w:line="264"/>
            </w:pPr>
            <w:r>
              <w:rPr>
                <w:b/>
                <w:bCs/>
                <w:color w:val="404040"/>
                <w:sz w:val="20"/>
                <w:szCs w:val="20"/>
              </w:rPr>
              <w:t xml:space="preserve">Your goal: </w:t>
            </w:r>
            <w:r>
              <w:rPr>
                <w:sz w:val="20"/>
                <w:szCs w:val="20"/>
              </w:rPr>
              <w:t xml:space="preserve">Get trained eyes on the resident safely and within policy — not to force entry solo.</w:t>
            </w:r>
          </w:p>
          <w:p>
            <w:pPr>
              <w:spacing w:after="20"/>
            </w:pPr>
            <w:r>
              <w:rPr>
                <w:b/>
                <w:bCs/>
                <w:color w:val="404040"/>
                <w:sz w:val="20"/>
                <w:szCs w:val="20"/>
              </w:rPr>
              <w:t xml:space="preserve">Do:</w:t>
            </w:r>
          </w:p>
          <w:p>
            <w:pPr>
              <w:pStyle w:val="ListParagraph"/>
              <w:numPr>
                <w:ilvl w:val="0"/>
                <w:numId w:val="3"/>
              </w:numPr>
              <w:spacing w:after="30" w:line="264"/>
            </w:pPr>
            <w:r>
              <w:t xml:space="preserve">Take details; check office records for recent contact.</w:t>
            </w:r>
          </w:p>
          <w:p>
            <w:pPr>
              <w:pStyle w:val="ListParagraph"/>
              <w:numPr>
                <w:ilvl w:val="0"/>
                <w:numId w:val="3"/>
              </w:numPr>
              <w:spacing w:after="30" w:line="264"/>
            </w:pPr>
            <w:r>
              <w:t xml:space="preserve">Follow your entry/welfare-check policy; involve management.</w:t>
            </w:r>
          </w:p>
          <w:p>
            <w:pPr>
              <w:pStyle w:val="ListParagraph"/>
              <w:numPr>
                <w:ilvl w:val="0"/>
                <w:numId w:val="3"/>
              </w:numPr>
              <w:spacing w:after="30" w:line="264"/>
            </w:pPr>
            <w:r>
              <w:t xml:space="preserve">Call the non-emergency line (or 911 if you fear immediate harm) for a welfare check.</w:t>
            </w:r>
          </w:p>
          <w:p>
            <w:pPr>
              <w:pStyle w:val="ListParagraph"/>
              <w:numPr>
                <w:ilvl w:val="0"/>
                <w:numId w:val="3"/>
              </w:numPr>
              <w:spacing w:after="30" w:line="264"/>
            </w:pPr>
            <w:r>
              <w:t xml:space="preserve">Document who called, when, and steps taken.</w:t>
            </w:r>
          </w:p>
          <w:p>
            <w:pPr>
              <w:spacing w:after="20"/>
            </w:pPr>
            <w:r>
              <w:rPr>
                <w:b/>
                <w:bCs/>
                <w:color w:val="404040"/>
                <w:sz w:val="20"/>
                <w:szCs w:val="20"/>
              </w:rPr>
              <w:t xml:space="preserve">Don’t:</w:t>
            </w:r>
          </w:p>
          <w:p>
            <w:pPr>
              <w:pStyle w:val="ListParagraph"/>
              <w:numPr>
                <w:ilvl w:val="0"/>
                <w:numId w:val="3"/>
              </w:numPr>
              <w:spacing w:after="30" w:line="264"/>
            </w:pPr>
            <w:r>
              <w:t xml:space="preserve">Enter alone into a possibly dangerous scene; speculate to the family; share private info you shouldn’t.</w:t>
            </w:r>
          </w:p>
          <w:p>
            <w:pPr>
              <w:spacing w:after="40" w:line="264"/>
            </w:pPr>
            <w:r>
              <w:rPr>
                <w:b/>
                <w:bCs/>
                <w:color w:val="404040"/>
                <w:sz w:val="20"/>
                <w:szCs w:val="20"/>
              </w:rPr>
              <w:t xml:space="preserve">⚠ Fair Housing / privacy: </w:t>
            </w:r>
            <w:r>
              <w:rPr>
                <w:sz w:val="20"/>
                <w:szCs w:val="20"/>
              </w:rPr>
              <w:t xml:space="preserve">Verify who you’re speaking with; don’t disclose the resident’s private information without a proper basis.</w:t>
            </w:r>
          </w:p>
          <w:p>
            <w:pPr>
              <w:spacing w:after="40" w:line="264"/>
            </w:pPr>
            <w:r>
              <w:rPr>
                <w:b/>
                <w:bCs/>
                <w:color w:val="404040"/>
                <w:sz w:val="20"/>
                <w:szCs w:val="20"/>
              </w:rPr>
              <w:t xml:space="preserve">Escalate when: </w:t>
            </w:r>
            <w:r>
              <w:rPr>
                <w:sz w:val="20"/>
                <w:szCs w:val="20"/>
              </w:rPr>
              <w:t xml:space="preserve">Signs of medical emergency or danger → 911 immediately.</w:t>
            </w:r>
          </w:p>
          <w:p>
            <w:pPr>
              <w:spacing w:after="40" w:line="264"/>
            </w:pPr>
            <w:r>
              <w:rPr>
                <w:b/>
                <w:bCs/>
                <w:color w:val="404040"/>
                <w:sz w:val="20"/>
                <w:szCs w:val="20"/>
              </w:rPr>
              <w:t xml:space="preserve">Twist (advanced): </w:t>
            </w:r>
            <w:r>
              <w:rPr>
                <w:sz w:val="20"/>
                <w:szCs w:val="20"/>
              </w:rPr>
              <w:t xml:space="preserve">You knock and hear a faint response but the door is locked.</w:t>
            </w:r>
          </w:p>
        </w:tc>
      </w:tr>
    </w:tbl>
    <w:tbl>
      <w:tblPr>
        <w:tblW w:type="dxa" w:w="9360"/>
        <w:tblBorders>
          <w:top w:val="single" w:color="E6E6E6" w:sz="4"/>
          <w:left w:val="single" w:color="1A1A1A"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KEY</w:t>
            </w:r>
          </w:p>
          <w:p>
            <w:pPr>
              <w:spacing w:after="120" w:line="276"/>
            </w:pPr>
            <w:r>
              <w:rPr>
                <w:b/>
                <w:bCs/>
              </w:rPr>
              <w:t xml:space="preserve">Debrief points: </w:t>
            </w:r>
            <w:r>
              <w:t xml:space="preserve">Policy + professionals, not heroics. Balance the family’s worry against the resident’s privacy. Document everything.</w:t>
            </w:r>
          </w:p>
        </w:tc>
      </w:tr>
    </w:tbl>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FFFFF" w:val="clear"/>
            <w:tcMar>
              <w:top w:type="dxa" w:w="140"/>
              <w:left w:type="dxa" w:w="180"/>
              <w:bottom w:type="dxa" w:w="140"/>
              <w:right w:type="dxa" w:w="180"/>
            </w:tcMar>
          </w:tcPr>
          <w:p>
            <w:pPr>
              <w:spacing w:after="80"/>
            </w:pPr>
            <w:r>
              <w:rPr>
                <w:rFonts w:ascii="Cambria" w:cs="Cambria" w:eastAsia="Cambria" w:hAnsi="Cambria"/>
                <w:b/>
                <w:bCs/>
                <w:color w:val="C8102E"/>
                <w:sz w:val="22"/>
                <w:szCs w:val="22"/>
              </w:rPr>
              <w:t xml:space="preserve">SCENARIO 3  </w:t>
            </w:r>
            <w:r>
              <w:rPr>
                <w:rFonts w:ascii="Cambria" w:cs="Cambria" w:eastAsia="Cambria" w:hAnsi="Cambria"/>
                <w:b/>
                <w:bCs/>
                <w:color w:val="1A1A1A"/>
                <w:sz w:val="22"/>
                <w:szCs w:val="22"/>
              </w:rPr>
              <w:t xml:space="preserve">Possible Overdose / Medical Emergency</w:t>
            </w:r>
          </w:p>
          <w:p>
            <w:pPr>
              <w:spacing w:after="40" w:line="264"/>
            </w:pPr>
            <w:r>
              <w:rPr>
                <w:b/>
                <w:bCs/>
                <w:color w:val="404040"/>
                <w:sz w:val="20"/>
                <w:szCs w:val="20"/>
              </w:rPr>
              <w:t xml:space="preserve">Setup: </w:t>
            </w:r>
            <w:r>
              <w:rPr>
                <w:sz w:val="20"/>
                <w:szCs w:val="20"/>
              </w:rPr>
              <w:t xml:space="preserve">You find a resident unresponsive or barely responsive in a common area.</w:t>
            </w:r>
          </w:p>
          <w:p>
            <w:pPr>
              <w:spacing w:after="40" w:line="264"/>
            </w:pPr>
            <w:r>
              <w:rPr>
                <w:b/>
                <w:bCs/>
                <w:color w:val="404040"/>
                <w:sz w:val="20"/>
                <w:szCs w:val="20"/>
              </w:rPr>
              <w:t xml:space="preserve">Your goal: </w:t>
            </w:r>
            <w:r>
              <w:rPr>
                <w:sz w:val="20"/>
                <w:szCs w:val="20"/>
              </w:rPr>
              <w:t xml:space="preserve">Get emergency medical help immediately and keep everyone safe.</w:t>
            </w:r>
          </w:p>
          <w:p>
            <w:pPr>
              <w:spacing w:after="20"/>
            </w:pPr>
            <w:r>
              <w:rPr>
                <w:b/>
                <w:bCs/>
                <w:color w:val="404040"/>
                <w:sz w:val="20"/>
                <w:szCs w:val="20"/>
              </w:rPr>
              <w:t xml:space="preserve">Do:</w:t>
            </w:r>
          </w:p>
          <w:p>
            <w:pPr>
              <w:pStyle w:val="ListParagraph"/>
              <w:numPr>
                <w:ilvl w:val="0"/>
                <w:numId w:val="3"/>
              </w:numPr>
              <w:spacing w:after="30" w:line="264"/>
            </w:pPr>
            <w:r>
              <w:t xml:space="preserve">Call 911 first; give clear location and what you observe.</w:t>
            </w:r>
          </w:p>
          <w:p>
            <w:pPr>
              <w:pStyle w:val="ListParagraph"/>
              <w:numPr>
                <w:ilvl w:val="0"/>
                <w:numId w:val="3"/>
              </w:numPr>
              <w:spacing w:after="30" w:line="264"/>
            </w:pPr>
            <w:r>
              <w:t xml:space="preserve">Follow your company policy on naloxone/first aid and your training level.</w:t>
            </w:r>
          </w:p>
          <w:p>
            <w:pPr>
              <w:pStyle w:val="ListParagraph"/>
              <w:numPr>
                <w:ilvl w:val="0"/>
                <w:numId w:val="3"/>
              </w:numPr>
              <w:spacing w:after="30" w:line="264"/>
            </w:pPr>
            <w:r>
              <w:t xml:space="preserve">Clear bystanders; keep the area safe; stay until responders arrive.</w:t>
            </w:r>
          </w:p>
          <w:p>
            <w:pPr>
              <w:pStyle w:val="ListParagraph"/>
              <w:numPr>
                <w:ilvl w:val="0"/>
                <w:numId w:val="3"/>
              </w:numPr>
              <w:spacing w:after="30" w:line="264"/>
            </w:pPr>
            <w:r>
              <w:t xml:space="preserve">Notify management; document facts and timeline.</w:t>
            </w:r>
          </w:p>
          <w:p>
            <w:pPr>
              <w:spacing w:after="20"/>
            </w:pPr>
            <w:r>
              <w:rPr>
                <w:b/>
                <w:bCs/>
                <w:color w:val="404040"/>
                <w:sz w:val="20"/>
                <w:szCs w:val="20"/>
              </w:rPr>
              <w:t xml:space="preserve">Don’t:</w:t>
            </w:r>
          </w:p>
          <w:p>
            <w:pPr>
              <w:pStyle w:val="ListParagraph"/>
              <w:numPr>
                <w:ilvl w:val="0"/>
                <w:numId w:val="3"/>
              </w:numPr>
              <w:spacing w:after="30" w:line="264"/>
            </w:pPr>
            <w:r>
              <w:t xml:space="preserve">Delay 911 to “check first”; move the person unnecessarily; act beyond your training.</w:t>
            </w:r>
          </w:p>
          <w:p>
            <w:pPr>
              <w:spacing w:after="40" w:line="264"/>
            </w:pPr>
            <w:r>
              <w:rPr>
                <w:b/>
                <w:bCs/>
                <w:color w:val="404040"/>
                <w:sz w:val="20"/>
                <w:szCs w:val="20"/>
              </w:rPr>
              <w:t xml:space="preserve">⚠ Follow-up: </w:t>
            </w:r>
            <w:r>
              <w:rPr>
                <w:sz w:val="20"/>
                <w:szCs w:val="20"/>
              </w:rPr>
              <w:t xml:space="preserve">Afterward, the responding employee may be shaken — activate debrief and EAP (Module 6).</w:t>
            </w:r>
          </w:p>
          <w:p>
            <w:pPr>
              <w:spacing w:after="40" w:line="264"/>
            </w:pPr>
            <w:r>
              <w:rPr>
                <w:b/>
                <w:bCs/>
                <w:color w:val="404040"/>
                <w:sz w:val="20"/>
                <w:szCs w:val="20"/>
              </w:rPr>
              <w:t xml:space="preserve">Escalate when: </w:t>
            </w:r>
            <w:r>
              <w:rPr>
                <w:sz w:val="20"/>
                <w:szCs w:val="20"/>
              </w:rPr>
              <w:t xml:space="preserve">Always 911 for unresponsiveness or suspected overdose.</w:t>
            </w:r>
          </w:p>
          <w:p>
            <w:pPr>
              <w:spacing w:after="40" w:line="264"/>
            </w:pPr>
            <w:r>
              <w:rPr>
                <w:b/>
                <w:bCs/>
                <w:color w:val="404040"/>
                <w:sz w:val="20"/>
                <w:szCs w:val="20"/>
              </w:rPr>
              <w:t xml:space="preserve">Twist (advanced): </w:t>
            </w:r>
            <w:r>
              <w:rPr>
                <w:sz w:val="20"/>
                <w:szCs w:val="20"/>
              </w:rPr>
              <w:t xml:space="preserve">A bystander is filming and demanding you “do something.”</w:t>
            </w:r>
          </w:p>
        </w:tc>
      </w:tr>
    </w:tbl>
    <w:tbl>
      <w:tblPr>
        <w:tblW w:type="dxa" w:w="9360"/>
        <w:tblBorders>
          <w:top w:val="single" w:color="E6E6E6" w:sz="4"/>
          <w:left w:val="single" w:color="1A1A1A"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KEY</w:t>
            </w:r>
          </w:p>
          <w:p>
            <w:pPr>
              <w:spacing w:after="120" w:line="276"/>
            </w:pPr>
            <w:r>
              <w:rPr>
                <w:b/>
                <w:bCs/>
              </w:rPr>
              <w:t xml:space="preserve">Debrief points: </w:t>
            </w:r>
            <w:r>
              <w:t xml:space="preserve">Speed and 911 first. Know your naloxone policy in advance. This scenario is a prime source of secondary trauma — name it.</w:t>
            </w:r>
          </w:p>
        </w:tc>
      </w:tr>
    </w:tbl>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FFFFF" w:val="clear"/>
            <w:tcMar>
              <w:top w:type="dxa" w:w="140"/>
              <w:left w:type="dxa" w:w="180"/>
              <w:bottom w:type="dxa" w:w="140"/>
              <w:right w:type="dxa" w:w="180"/>
            </w:tcMar>
          </w:tcPr>
          <w:p>
            <w:pPr>
              <w:spacing w:after="80"/>
            </w:pPr>
            <w:r>
              <w:rPr>
                <w:rFonts w:ascii="Cambria" w:cs="Cambria" w:eastAsia="Cambria" w:hAnsi="Cambria"/>
                <w:b/>
                <w:bCs/>
                <w:color w:val="C8102E"/>
                <w:sz w:val="22"/>
                <w:szCs w:val="22"/>
              </w:rPr>
              <w:t xml:space="preserve">SCENARIO 4  </w:t>
            </w:r>
            <w:r>
              <w:rPr>
                <w:rFonts w:ascii="Cambria" w:cs="Cambria" w:eastAsia="Cambria" w:hAnsi="Cambria"/>
                <w:b/>
                <w:bCs/>
                <w:color w:val="1A1A1A"/>
                <w:sz w:val="22"/>
                <w:szCs w:val="22"/>
              </w:rPr>
              <w:t xml:space="preserve">Domestic-Violence Disclosure ⚠</w:t>
            </w:r>
          </w:p>
          <w:p>
            <w:pPr>
              <w:spacing w:after="40" w:line="264"/>
            </w:pPr>
            <w:r>
              <w:rPr>
                <w:b/>
                <w:bCs/>
                <w:color w:val="404040"/>
                <w:sz w:val="20"/>
                <w:szCs w:val="20"/>
              </w:rPr>
              <w:t xml:space="preserve">Setup: </w:t>
            </w:r>
            <w:r>
              <w:rPr>
                <w:sz w:val="20"/>
                <w:szCs w:val="20"/>
              </w:rPr>
              <w:t xml:space="preserve">A resident quietly tells a leasing agent she’s afraid of her partner and doesn’t know what to do.</w:t>
            </w:r>
          </w:p>
          <w:p>
            <w:pPr>
              <w:spacing w:after="40" w:line="264"/>
            </w:pPr>
            <w:r>
              <w:rPr>
                <w:b/>
                <w:bCs/>
                <w:color w:val="404040"/>
                <w:sz w:val="20"/>
                <w:szCs w:val="20"/>
              </w:rPr>
              <w:t xml:space="preserve">Your goal: </w:t>
            </w:r>
            <w:r>
              <w:rPr>
                <w:sz w:val="20"/>
                <w:szCs w:val="20"/>
              </w:rPr>
              <w:t xml:space="preserve">Respond with care, protect confidentiality, and connect her to real help — without overstepping.</w:t>
            </w:r>
          </w:p>
          <w:p>
            <w:pPr>
              <w:spacing w:after="20"/>
            </w:pPr>
            <w:r>
              <w:rPr>
                <w:b/>
                <w:bCs/>
                <w:color w:val="404040"/>
                <w:sz w:val="20"/>
                <w:szCs w:val="20"/>
              </w:rPr>
              <w:t xml:space="preserve">Do:</w:t>
            </w:r>
          </w:p>
          <w:p>
            <w:pPr>
              <w:pStyle w:val="ListParagraph"/>
              <w:numPr>
                <w:ilvl w:val="0"/>
                <w:numId w:val="3"/>
              </w:numPr>
              <w:spacing w:after="30" w:line="264"/>
            </w:pPr>
            <w:r>
              <w:t xml:space="preserve">Listen, believe, and thank her for telling you.</w:t>
            </w:r>
          </w:p>
          <w:p>
            <w:pPr>
              <w:pStyle w:val="ListParagraph"/>
              <w:numPr>
                <w:ilvl w:val="0"/>
                <w:numId w:val="3"/>
              </w:numPr>
              <w:spacing w:after="30" w:line="264"/>
            </w:pPr>
            <w:r>
              <w:t xml:space="preserve">Offer the DV hotline and local resources; call 911 if she’s in immediate danger.</w:t>
            </w:r>
          </w:p>
          <w:p>
            <w:pPr>
              <w:pStyle w:val="ListParagraph"/>
              <w:numPr>
                <w:ilvl w:val="0"/>
                <w:numId w:val="3"/>
              </w:numPr>
              <w:spacing w:after="30" w:line="264"/>
            </w:pPr>
            <w:r>
              <w:t xml:space="preserve">Follow VAWA-aware policy; keep the disclosure strictly confidential.</w:t>
            </w:r>
          </w:p>
          <w:p>
            <w:pPr>
              <w:pStyle w:val="ListParagraph"/>
              <w:numPr>
                <w:ilvl w:val="0"/>
                <w:numId w:val="3"/>
              </w:numPr>
              <w:spacing w:after="30" w:line="264"/>
            </w:pPr>
            <w:r>
              <w:t xml:space="preserve">Ask what she needs; respect her choices.</w:t>
            </w:r>
          </w:p>
          <w:p>
            <w:pPr>
              <w:spacing w:after="20"/>
            </w:pPr>
            <w:r>
              <w:rPr>
                <w:b/>
                <w:bCs/>
                <w:color w:val="404040"/>
                <w:sz w:val="20"/>
                <w:szCs w:val="20"/>
              </w:rPr>
              <w:t xml:space="preserve">Don’t:</w:t>
            </w:r>
          </w:p>
          <w:p>
            <w:pPr>
              <w:pStyle w:val="ListParagraph"/>
              <w:numPr>
                <w:ilvl w:val="0"/>
                <w:numId w:val="3"/>
              </w:numPr>
              <w:spacing w:after="30" w:line="264"/>
            </w:pPr>
            <w:r>
              <w:t xml:space="preserve">Pressure her, judge her choices, or repeat the disclosure.</w:t>
            </w:r>
          </w:p>
          <w:p>
            <w:pPr>
              <w:pStyle w:val="ListParagraph"/>
              <w:numPr>
                <w:ilvl w:val="0"/>
                <w:numId w:val="3"/>
              </w:numPr>
              <w:spacing w:after="30" w:line="264"/>
            </w:pPr>
            <w:r>
              <w:t xml:space="preserve">Note it where it isn’t needed or share it casually.</w:t>
            </w:r>
          </w:p>
          <w:p>
            <w:pPr>
              <w:spacing w:after="40" w:line="264"/>
            </w:pPr>
            <w:r>
              <w:rPr>
                <w:b/>
                <w:bCs/>
                <w:color w:val="404040"/>
                <w:sz w:val="20"/>
                <w:szCs w:val="20"/>
              </w:rPr>
              <w:t xml:space="preserve">⚠ Fair Housing / VAWA: </w:t>
            </w:r>
            <w:r>
              <w:rPr>
                <w:sz w:val="20"/>
                <w:szCs w:val="20"/>
              </w:rPr>
              <w:t xml:space="preserve">Being a survivor is not a basis for denial, eviction, or different treatment. Know your protections and referral path.</w:t>
            </w:r>
          </w:p>
          <w:p>
            <w:pPr>
              <w:spacing w:after="40" w:line="264"/>
            </w:pPr>
            <w:r>
              <w:rPr>
                <w:b/>
                <w:bCs/>
                <w:color w:val="404040"/>
                <w:sz w:val="20"/>
                <w:szCs w:val="20"/>
              </w:rPr>
              <w:t xml:space="preserve">Escalate when: </w:t>
            </w:r>
            <w:r>
              <w:rPr>
                <w:sz w:val="20"/>
                <w:szCs w:val="20"/>
              </w:rPr>
              <w:t xml:space="preserve">Immediate danger → 911. Otherwise resources + policy path.</w:t>
            </w:r>
          </w:p>
          <w:p>
            <w:pPr>
              <w:spacing w:after="40" w:line="264"/>
            </w:pPr>
            <w:r>
              <w:rPr>
                <w:b/>
                <w:bCs/>
                <w:color w:val="404040"/>
                <w:sz w:val="20"/>
                <w:szCs w:val="20"/>
              </w:rPr>
              <w:t xml:space="preserve">Twist (advanced): </w:t>
            </w:r>
            <w:r>
              <w:rPr>
                <w:sz w:val="20"/>
                <w:szCs w:val="20"/>
              </w:rPr>
              <w:t xml:space="preserve">The partner is also on the lease and shows up at the office.</w:t>
            </w:r>
          </w:p>
        </w:tc>
      </w:tr>
    </w:tbl>
    <w:tbl>
      <w:tblPr>
        <w:tblW w:type="dxa" w:w="9360"/>
        <w:tblBorders>
          <w:top w:val="single" w:color="E6E6E6" w:sz="4"/>
          <w:left w:val="single" w:color="1A1A1A"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KEY</w:t>
            </w:r>
          </w:p>
          <w:p>
            <w:pPr>
              <w:spacing w:after="120" w:line="276"/>
            </w:pPr>
            <w:r>
              <w:rPr>
                <w:b/>
                <w:bCs/>
              </w:rPr>
              <w:t xml:space="preserve">Debrief points: </w:t>
            </w:r>
            <w:r>
              <w:t xml:space="preserve">Survivor-centered + confidential + connected. This is a legal-protection area — verify VAWA specifics and your policy before teaching for credit.</w:t>
            </w:r>
          </w:p>
        </w:tc>
      </w:tr>
    </w:tbl>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FFFFF" w:val="clear"/>
            <w:tcMar>
              <w:top w:type="dxa" w:w="140"/>
              <w:left w:type="dxa" w:w="180"/>
              <w:bottom w:type="dxa" w:w="140"/>
              <w:right w:type="dxa" w:w="180"/>
            </w:tcMar>
          </w:tcPr>
          <w:p>
            <w:pPr>
              <w:spacing w:after="80"/>
            </w:pPr>
            <w:r>
              <w:rPr>
                <w:rFonts w:ascii="Cambria" w:cs="Cambria" w:eastAsia="Cambria" w:hAnsi="Cambria"/>
                <w:b/>
                <w:bCs/>
                <w:color w:val="C8102E"/>
                <w:sz w:val="22"/>
                <w:szCs w:val="22"/>
              </w:rPr>
              <w:t xml:space="preserve">SCENARIO 5  </w:t>
            </w:r>
            <w:r>
              <w:rPr>
                <w:rFonts w:ascii="Cambria" w:cs="Cambria" w:eastAsia="Cambria" w:hAnsi="Cambria"/>
                <w:b/>
                <w:bCs/>
                <w:color w:val="1A1A1A"/>
                <w:sz w:val="22"/>
                <w:szCs w:val="22"/>
              </w:rPr>
              <w:t xml:space="preserve">Psychiatric Crisis in a Common Area</w:t>
            </w:r>
          </w:p>
          <w:p>
            <w:pPr>
              <w:spacing w:after="40" w:line="264"/>
            </w:pPr>
            <w:r>
              <w:rPr>
                <w:b/>
                <w:bCs/>
                <w:color w:val="404040"/>
                <w:sz w:val="20"/>
                <w:szCs w:val="20"/>
              </w:rPr>
              <w:t xml:space="preserve">Setup: </w:t>
            </w:r>
            <w:r>
              <w:rPr>
                <w:sz w:val="20"/>
                <w:szCs w:val="20"/>
              </w:rPr>
              <w:t xml:space="preserve">A resident is pacing the lobby, talking rapidly, and appears disoriented and frightened; other residents are staring.</w:t>
            </w:r>
          </w:p>
          <w:p>
            <w:pPr>
              <w:spacing w:after="40" w:line="264"/>
            </w:pPr>
            <w:r>
              <w:rPr>
                <w:b/>
                <w:bCs/>
                <w:color w:val="404040"/>
                <w:sz w:val="20"/>
                <w:szCs w:val="20"/>
              </w:rPr>
              <w:t xml:space="preserve">Your goal: </w:t>
            </w:r>
            <w:r>
              <w:rPr>
                <w:sz w:val="20"/>
                <w:szCs w:val="20"/>
              </w:rPr>
              <w:t xml:space="preserve">Reduce stimulation, de-escalate, keep everyone safe, and get appropriate help.</w:t>
            </w:r>
          </w:p>
          <w:p>
            <w:pPr>
              <w:spacing w:after="20"/>
            </w:pPr>
            <w:r>
              <w:rPr>
                <w:b/>
                <w:bCs/>
                <w:color w:val="404040"/>
                <w:sz w:val="20"/>
                <w:szCs w:val="20"/>
              </w:rPr>
              <w:t xml:space="preserve">Do:</w:t>
            </w:r>
          </w:p>
          <w:p>
            <w:pPr>
              <w:pStyle w:val="ListParagraph"/>
              <w:numPr>
                <w:ilvl w:val="0"/>
                <w:numId w:val="3"/>
              </w:numPr>
              <w:spacing w:after="30" w:line="264"/>
            </w:pPr>
            <w:r>
              <w:t xml:space="preserve">Lower the temperature: calm voice, space, fewer onlookers.</w:t>
            </w:r>
          </w:p>
          <w:p>
            <w:pPr>
              <w:pStyle w:val="ListParagraph"/>
              <w:numPr>
                <w:ilvl w:val="0"/>
                <w:numId w:val="3"/>
              </w:numPr>
              <w:spacing w:after="30" w:line="264"/>
            </w:pPr>
            <w:r>
              <w:t xml:space="preserve">Speak simply and reassuringly; don’t argue with what they’re experiencing.</w:t>
            </w:r>
          </w:p>
          <w:p>
            <w:pPr>
              <w:pStyle w:val="ListParagraph"/>
              <w:numPr>
                <w:ilvl w:val="0"/>
                <w:numId w:val="3"/>
              </w:numPr>
              <w:spacing w:after="30" w:line="264"/>
            </w:pPr>
            <w:r>
              <w:t xml:space="preserve">Call 988 for guidance / 911 if there’s danger; request trained response if available.</w:t>
            </w:r>
          </w:p>
          <w:p>
            <w:pPr>
              <w:pStyle w:val="ListParagraph"/>
              <w:numPr>
                <w:ilvl w:val="0"/>
                <w:numId w:val="3"/>
              </w:numPr>
              <w:spacing w:after="30" w:line="264"/>
            </w:pPr>
            <w:r>
              <w:t xml:space="preserve">Protect the person’s dignity in front of neighbors.</w:t>
            </w:r>
          </w:p>
          <w:p>
            <w:pPr>
              <w:spacing w:after="20"/>
            </w:pPr>
            <w:r>
              <w:rPr>
                <w:b/>
                <w:bCs/>
                <w:color w:val="404040"/>
                <w:sz w:val="20"/>
                <w:szCs w:val="20"/>
              </w:rPr>
              <w:t xml:space="preserve">Don’t:</w:t>
            </w:r>
          </w:p>
          <w:p>
            <w:pPr>
              <w:pStyle w:val="ListParagraph"/>
              <w:numPr>
                <w:ilvl w:val="0"/>
                <w:numId w:val="3"/>
              </w:numPr>
              <w:spacing w:after="30" w:line="264"/>
            </w:pPr>
            <w:r>
              <w:t xml:space="preserve">Crowd, grab, or corner them; raise your voice; make it a spectacle.</w:t>
            </w:r>
          </w:p>
          <w:p>
            <w:pPr>
              <w:spacing w:after="40" w:line="264"/>
            </w:pPr>
            <w:r>
              <w:rPr>
                <w:b/>
                <w:bCs/>
                <w:color w:val="404040"/>
                <w:sz w:val="20"/>
                <w:szCs w:val="20"/>
              </w:rPr>
              <w:t xml:space="preserve">⚠ Fair Housing: </w:t>
            </w:r>
            <w:r>
              <w:rPr>
                <w:sz w:val="20"/>
                <w:szCs w:val="20"/>
              </w:rPr>
              <w:t xml:space="preserve">A visible psychiatric episode is not a lawful basis for adverse action. Respond to behavior and safety, not to the condition.</w:t>
            </w:r>
          </w:p>
          <w:p>
            <w:pPr>
              <w:spacing w:after="40" w:line="264"/>
            </w:pPr>
            <w:r>
              <w:rPr>
                <w:b/>
                <w:bCs/>
                <w:color w:val="404040"/>
                <w:sz w:val="20"/>
                <w:szCs w:val="20"/>
              </w:rPr>
              <w:t xml:space="preserve">Escalate when: </w:t>
            </w:r>
            <w:r>
              <w:rPr>
                <w:sz w:val="20"/>
                <w:szCs w:val="20"/>
              </w:rPr>
              <w:t xml:space="preserve">Danger to self/others → 911. Otherwise 988 + management.</w:t>
            </w:r>
          </w:p>
          <w:p>
            <w:pPr>
              <w:spacing w:after="40" w:line="264"/>
            </w:pPr>
            <w:r>
              <w:rPr>
                <w:b/>
                <w:bCs/>
                <w:color w:val="404040"/>
                <w:sz w:val="20"/>
                <w:szCs w:val="20"/>
              </w:rPr>
              <w:t xml:space="preserve">Twist (advanced): </w:t>
            </w:r>
            <w:r>
              <w:rPr>
                <w:sz w:val="20"/>
                <w:szCs w:val="20"/>
              </w:rPr>
              <w:t xml:space="preserve">Another resident starts recording and yelling to “get them out of here.”</w:t>
            </w:r>
          </w:p>
        </w:tc>
      </w:tr>
    </w:tbl>
    <w:tbl>
      <w:tblPr>
        <w:tblW w:type="dxa" w:w="9360"/>
        <w:tblBorders>
          <w:top w:val="single" w:color="E6E6E6" w:sz="4"/>
          <w:left w:val="single" w:color="1A1A1A"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KEY</w:t>
            </w:r>
          </w:p>
          <w:p>
            <w:pPr>
              <w:spacing w:after="120" w:line="276"/>
            </w:pPr>
            <w:r>
              <w:rPr>
                <w:b/>
                <w:bCs/>
              </w:rPr>
              <w:t xml:space="preserve">Debrief points: </w:t>
            </w:r>
            <w:r>
              <w:t xml:space="preserve">Dignity + de-escalation + right help. Managing bystanders is part of the job. “Direct threat” is narrow and individualized — not “they seem unstable.”</w:t>
            </w:r>
          </w:p>
        </w:tc>
      </w:tr>
    </w:tbl>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FFFFF" w:val="clear"/>
            <w:tcMar>
              <w:top w:type="dxa" w:w="140"/>
              <w:left w:type="dxa" w:w="180"/>
              <w:bottom w:type="dxa" w:w="140"/>
              <w:right w:type="dxa" w:w="180"/>
            </w:tcMar>
          </w:tcPr>
          <w:p>
            <w:pPr>
              <w:spacing w:after="80"/>
            </w:pPr>
            <w:r>
              <w:rPr>
                <w:rFonts w:ascii="Cambria" w:cs="Cambria" w:eastAsia="Cambria" w:hAnsi="Cambria"/>
                <w:b/>
                <w:bCs/>
                <w:color w:val="C8102E"/>
                <w:sz w:val="22"/>
                <w:szCs w:val="22"/>
              </w:rPr>
              <w:t xml:space="preserve">SCENARIO 6  </w:t>
            </w:r>
            <w:r>
              <w:rPr>
                <w:rFonts w:ascii="Cambria" w:cs="Cambria" w:eastAsia="Cambria" w:hAnsi="Cambria"/>
                <w:b/>
                <w:bCs/>
                <w:color w:val="1A1A1A"/>
                <w:sz w:val="22"/>
                <w:szCs w:val="22"/>
              </w:rPr>
              <w:t xml:space="preserve">Threats or Aggression Toward Staff</w:t>
            </w:r>
          </w:p>
          <w:p>
            <w:pPr>
              <w:spacing w:after="40" w:line="264"/>
            </w:pPr>
            <w:r>
              <w:rPr>
                <w:b/>
                <w:bCs/>
                <w:color w:val="404040"/>
                <w:sz w:val="20"/>
                <w:szCs w:val="20"/>
              </w:rPr>
              <w:t xml:space="preserve">Setup: </w:t>
            </w:r>
            <w:r>
              <w:rPr>
                <w:sz w:val="20"/>
                <w:szCs w:val="20"/>
              </w:rPr>
              <w:t xml:space="preserve">During a rent conversation, a resident becomes verbally aggressive and steps toward the leasing agent.</w:t>
            </w:r>
          </w:p>
          <w:p>
            <w:pPr>
              <w:spacing w:after="40" w:line="264"/>
            </w:pPr>
            <w:r>
              <w:rPr>
                <w:b/>
                <w:bCs/>
                <w:color w:val="404040"/>
                <w:sz w:val="20"/>
                <w:szCs w:val="20"/>
              </w:rPr>
              <w:t xml:space="preserve">Your goal: </w:t>
            </w:r>
            <w:r>
              <w:rPr>
                <w:sz w:val="20"/>
                <w:szCs w:val="20"/>
              </w:rPr>
              <w:t xml:space="preserve">Protect yourself and staff first; de-escalate if safe; disengage if not.</w:t>
            </w:r>
          </w:p>
          <w:p>
            <w:pPr>
              <w:spacing w:after="20"/>
            </w:pPr>
            <w:r>
              <w:rPr>
                <w:b/>
                <w:bCs/>
                <w:color w:val="404040"/>
                <w:sz w:val="20"/>
                <w:szCs w:val="20"/>
              </w:rPr>
              <w:t xml:space="preserve">Do:</w:t>
            </w:r>
          </w:p>
          <w:p>
            <w:pPr>
              <w:pStyle w:val="ListParagraph"/>
              <w:numPr>
                <w:ilvl w:val="0"/>
                <w:numId w:val="3"/>
              </w:numPr>
              <w:spacing w:after="30" w:line="264"/>
            </w:pPr>
            <w:r>
              <w:t xml:space="preserve">Keep distance and a clear exit; stay calm and low.</w:t>
            </w:r>
          </w:p>
          <w:p>
            <w:pPr>
              <w:pStyle w:val="ListParagraph"/>
              <w:numPr>
                <w:ilvl w:val="0"/>
                <w:numId w:val="3"/>
              </w:numPr>
              <w:spacing w:after="30" w:line="264"/>
            </w:pPr>
            <w:r>
              <w:t xml:space="preserve">Set a simple boundary: “I want to help, and I need us to keep this calm.”</w:t>
            </w:r>
          </w:p>
          <w:p>
            <w:pPr>
              <w:pStyle w:val="ListParagraph"/>
              <w:numPr>
                <w:ilvl w:val="0"/>
                <w:numId w:val="3"/>
              </w:numPr>
              <w:spacing w:after="30" w:line="264"/>
            </w:pPr>
            <w:r>
              <w:t xml:space="preserve">Disengage and call for help/911 if you feel unsafe.</w:t>
            </w:r>
          </w:p>
          <w:p>
            <w:pPr>
              <w:pStyle w:val="ListParagraph"/>
              <w:numPr>
                <w:ilvl w:val="0"/>
                <w:numId w:val="3"/>
              </w:numPr>
              <w:spacing w:after="30" w:line="264"/>
            </w:pPr>
            <w:r>
              <w:t xml:space="preserve">Document specific behavior afterward.</w:t>
            </w:r>
          </w:p>
          <w:p>
            <w:pPr>
              <w:spacing w:after="20"/>
            </w:pPr>
            <w:r>
              <w:rPr>
                <w:b/>
                <w:bCs/>
                <w:color w:val="404040"/>
                <w:sz w:val="20"/>
                <w:szCs w:val="20"/>
              </w:rPr>
              <w:t xml:space="preserve">Don’t:</w:t>
            </w:r>
          </w:p>
          <w:p>
            <w:pPr>
              <w:pStyle w:val="ListParagraph"/>
              <w:numPr>
                <w:ilvl w:val="0"/>
                <w:numId w:val="3"/>
              </w:numPr>
              <w:spacing w:after="30" w:line="264"/>
            </w:pPr>
            <w:r>
              <w:t xml:space="preserve">Match aggression; block the door; try to “win” the argument; stay in danger to be polite.</w:t>
            </w:r>
          </w:p>
          <w:p>
            <w:pPr>
              <w:spacing w:after="40" w:line="264"/>
            </w:pPr>
            <w:r>
              <w:rPr>
                <w:b/>
                <w:bCs/>
                <w:color w:val="404040"/>
                <w:sz w:val="20"/>
                <w:szCs w:val="20"/>
              </w:rPr>
              <w:t xml:space="preserve">⚠ Fair Housing: </w:t>
            </w:r>
            <w:r>
              <w:rPr>
                <w:sz w:val="20"/>
                <w:szCs w:val="20"/>
              </w:rPr>
              <w:t xml:space="preserve">Enforce conduct policies based on behavior, applied consistently to everyone — never target a presumed condition.</w:t>
            </w:r>
          </w:p>
          <w:p>
            <w:pPr>
              <w:spacing w:after="40" w:line="264"/>
            </w:pPr>
            <w:r>
              <w:rPr>
                <w:b/>
                <w:bCs/>
                <w:color w:val="404040"/>
                <w:sz w:val="20"/>
                <w:szCs w:val="20"/>
              </w:rPr>
              <w:t xml:space="preserve">Escalate when: </w:t>
            </w:r>
            <w:r>
              <w:rPr>
                <w:sz w:val="20"/>
                <w:szCs w:val="20"/>
              </w:rPr>
              <w:t xml:space="preserve">Any physical threat → disengage + 911.</w:t>
            </w:r>
          </w:p>
          <w:p>
            <w:pPr>
              <w:spacing w:after="40" w:line="264"/>
            </w:pPr>
            <w:r>
              <w:rPr>
                <w:b/>
                <w:bCs/>
                <w:color w:val="404040"/>
                <w:sz w:val="20"/>
                <w:szCs w:val="20"/>
              </w:rPr>
              <w:t xml:space="preserve">Twist (advanced): </w:t>
            </w:r>
            <w:r>
              <w:rPr>
                <w:sz w:val="20"/>
                <w:szCs w:val="20"/>
              </w:rPr>
              <w:t xml:space="preserve">The resident calms, apologizes, and blames “off my meds.”</w:t>
            </w:r>
          </w:p>
        </w:tc>
      </w:tr>
    </w:tbl>
    <w:tbl>
      <w:tblPr>
        <w:tblW w:type="dxa" w:w="9360"/>
        <w:tblBorders>
          <w:top w:val="single" w:color="E6E6E6" w:sz="4"/>
          <w:left w:val="single" w:color="1A1A1A"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KEY</w:t>
            </w:r>
          </w:p>
          <w:p>
            <w:pPr>
              <w:spacing w:after="120" w:line="276"/>
            </w:pPr>
            <w:r>
              <w:rPr>
                <w:b/>
                <w:bCs/>
              </w:rPr>
              <w:t xml:space="preserve">Debrief points: </w:t>
            </w:r>
            <w:r>
              <w:t xml:space="preserve">Your safety outranks the transaction. Behavior-based enforcement applied evenly. A disclosure like “off my meds” may signal an accommodation conversation — route it.</w:t>
            </w:r>
          </w:p>
        </w:tc>
      </w:tr>
    </w:tbl>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FFFFF" w:val="clear"/>
            <w:tcMar>
              <w:top w:type="dxa" w:w="140"/>
              <w:left w:type="dxa" w:w="180"/>
              <w:bottom w:type="dxa" w:w="140"/>
              <w:right w:type="dxa" w:w="180"/>
            </w:tcMar>
          </w:tcPr>
          <w:p>
            <w:pPr>
              <w:spacing w:after="80"/>
            </w:pPr>
            <w:r>
              <w:rPr>
                <w:rFonts w:ascii="Cambria" w:cs="Cambria" w:eastAsia="Cambria" w:hAnsi="Cambria"/>
                <w:b/>
                <w:bCs/>
                <w:color w:val="C8102E"/>
                <w:sz w:val="22"/>
                <w:szCs w:val="22"/>
              </w:rPr>
              <w:t xml:space="preserve">SCENARIO 7  </w:t>
            </w:r>
            <w:r>
              <w:rPr>
                <w:rFonts w:ascii="Cambria" w:cs="Cambria" w:eastAsia="Cambria" w:hAnsi="Cambria"/>
                <w:b/>
                <w:bCs/>
                <w:color w:val="1A1A1A"/>
                <w:sz w:val="22"/>
                <w:szCs w:val="22"/>
              </w:rPr>
              <w:t xml:space="preserve">Death of a Resident on Property</w:t>
            </w:r>
          </w:p>
          <w:p>
            <w:pPr>
              <w:spacing w:after="40" w:line="264"/>
            </w:pPr>
            <w:r>
              <w:rPr>
                <w:b/>
                <w:bCs/>
                <w:color w:val="404040"/>
                <w:sz w:val="20"/>
                <w:szCs w:val="20"/>
              </w:rPr>
              <w:t xml:space="preserve">Setup: </w:t>
            </w:r>
            <w:r>
              <w:rPr>
                <w:sz w:val="20"/>
                <w:szCs w:val="20"/>
              </w:rPr>
              <w:t xml:space="preserve">A tech enters for a work order and discovers a resident who has died.</w:t>
            </w:r>
          </w:p>
          <w:p>
            <w:pPr>
              <w:spacing w:after="40" w:line="264"/>
            </w:pPr>
            <w:r>
              <w:rPr>
                <w:b/>
                <w:bCs/>
                <w:color w:val="404040"/>
                <w:sz w:val="20"/>
                <w:szCs w:val="20"/>
              </w:rPr>
              <w:t xml:space="preserve">Your goal: </w:t>
            </w:r>
            <w:r>
              <w:rPr>
                <w:sz w:val="20"/>
                <w:szCs w:val="20"/>
              </w:rPr>
              <w:t xml:space="preserve">Handle it safely, respectfully, and by policy — and support the person who found them.</w:t>
            </w:r>
          </w:p>
          <w:p>
            <w:pPr>
              <w:spacing w:after="20"/>
            </w:pPr>
            <w:r>
              <w:rPr>
                <w:b/>
                <w:bCs/>
                <w:color w:val="404040"/>
                <w:sz w:val="20"/>
                <w:szCs w:val="20"/>
              </w:rPr>
              <w:t xml:space="preserve">Do:</w:t>
            </w:r>
          </w:p>
          <w:p>
            <w:pPr>
              <w:pStyle w:val="ListParagraph"/>
              <w:numPr>
                <w:ilvl w:val="0"/>
                <w:numId w:val="3"/>
              </w:numPr>
              <w:spacing w:after="30" w:line="264"/>
            </w:pPr>
            <w:r>
              <w:t xml:space="preserve">Do not disturb the scene; call 911; secure the area.</w:t>
            </w:r>
          </w:p>
          <w:p>
            <w:pPr>
              <w:pStyle w:val="ListParagraph"/>
              <w:numPr>
                <w:ilvl w:val="0"/>
                <w:numId w:val="3"/>
              </w:numPr>
              <w:spacing w:after="30" w:line="264"/>
            </w:pPr>
            <w:r>
              <w:t xml:space="preserve">Notify management immediately; follow policy for notifications.</w:t>
            </w:r>
          </w:p>
          <w:p>
            <w:pPr>
              <w:pStyle w:val="ListParagraph"/>
              <w:numPr>
                <w:ilvl w:val="0"/>
                <w:numId w:val="3"/>
              </w:numPr>
              <w:spacing w:after="30" w:line="264"/>
            </w:pPr>
            <w:r>
              <w:t xml:space="preserve">Protect privacy and dignity; limit information sharing.</w:t>
            </w:r>
          </w:p>
          <w:p>
            <w:pPr>
              <w:pStyle w:val="ListParagraph"/>
              <w:numPr>
                <w:ilvl w:val="0"/>
                <w:numId w:val="3"/>
              </w:numPr>
              <w:spacing w:after="30" w:line="264"/>
            </w:pPr>
            <w:r>
              <w:t xml:space="preserve">Prioritize support for the employee who discovered it — debrief + EAP.</w:t>
            </w:r>
          </w:p>
          <w:p>
            <w:pPr>
              <w:spacing w:after="20"/>
            </w:pPr>
            <w:r>
              <w:rPr>
                <w:b/>
                <w:bCs/>
                <w:color w:val="404040"/>
                <w:sz w:val="20"/>
                <w:szCs w:val="20"/>
              </w:rPr>
              <w:t xml:space="preserve">Don’t:</w:t>
            </w:r>
          </w:p>
          <w:p>
            <w:pPr>
              <w:pStyle w:val="ListParagraph"/>
              <w:numPr>
                <w:ilvl w:val="0"/>
                <w:numId w:val="3"/>
              </w:numPr>
              <w:spacing w:after="30" w:line="264"/>
            </w:pPr>
            <w:r>
              <w:t xml:space="preserve">Speculate on cause; share details; leave the discovering employee to “just get back to work.”</w:t>
            </w:r>
          </w:p>
          <w:p>
            <w:pPr>
              <w:spacing w:after="40" w:line="264"/>
            </w:pPr>
            <w:r>
              <w:rPr>
                <w:b/>
                <w:bCs/>
                <w:color w:val="404040"/>
                <w:sz w:val="20"/>
                <w:szCs w:val="20"/>
              </w:rPr>
              <w:t xml:space="preserve">⚠ Follow-up: </w:t>
            </w:r>
            <w:r>
              <w:rPr>
                <w:sz w:val="20"/>
                <w:szCs w:val="20"/>
              </w:rPr>
              <w:t xml:space="preserve">This is high-impact trauma exposure. Module 6 debrief and EAP are essential, not optional.</w:t>
            </w:r>
          </w:p>
          <w:p>
            <w:pPr>
              <w:spacing w:after="40" w:line="264"/>
            </w:pPr>
            <w:r>
              <w:rPr>
                <w:b/>
                <w:bCs/>
                <w:color w:val="404040"/>
                <w:sz w:val="20"/>
                <w:szCs w:val="20"/>
              </w:rPr>
              <w:t xml:space="preserve">Escalate when: </w:t>
            </w:r>
            <w:r>
              <w:rPr>
                <w:sz w:val="20"/>
                <w:szCs w:val="20"/>
              </w:rPr>
              <w:t xml:space="preserve">Always 911 and management.</w:t>
            </w:r>
          </w:p>
          <w:p>
            <w:pPr>
              <w:spacing w:after="40" w:line="264"/>
            </w:pPr>
            <w:r>
              <w:rPr>
                <w:b/>
                <w:bCs/>
                <w:color w:val="404040"/>
                <w:sz w:val="20"/>
                <w:szCs w:val="20"/>
              </w:rPr>
              <w:t xml:space="preserve">Twist (advanced): </w:t>
            </w:r>
            <w:r>
              <w:rPr>
                <w:sz w:val="20"/>
                <w:szCs w:val="20"/>
              </w:rPr>
              <w:t xml:space="preserve">A neighbor asks the tech directly what happened.</w:t>
            </w:r>
          </w:p>
        </w:tc>
      </w:tr>
    </w:tbl>
    <w:tbl>
      <w:tblPr>
        <w:tblW w:type="dxa" w:w="9360"/>
        <w:tblBorders>
          <w:top w:val="single" w:color="E6E6E6" w:sz="4"/>
          <w:left w:val="single" w:color="1A1A1A"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KEY</w:t>
            </w:r>
          </w:p>
          <w:p>
            <w:pPr>
              <w:spacing w:after="120" w:line="276"/>
            </w:pPr>
            <w:r>
              <w:rPr>
                <w:b/>
                <w:bCs/>
              </w:rPr>
              <w:t xml:space="preserve">Debrief points: </w:t>
            </w:r>
            <w:r>
              <w:t xml:space="preserve">Scene + dignity + support the finder. This is the clearest link between crisis exposure and staff wellbeing — use it to bridge into Part B.</w:t>
            </w:r>
          </w:p>
        </w:tc>
      </w:tr>
    </w:tbl>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FFFFF" w:val="clear"/>
            <w:tcMar>
              <w:top w:type="dxa" w:w="140"/>
              <w:left w:type="dxa" w:w="180"/>
              <w:bottom w:type="dxa" w:w="140"/>
              <w:right w:type="dxa" w:w="180"/>
            </w:tcMar>
          </w:tcPr>
          <w:p>
            <w:pPr>
              <w:spacing w:after="80"/>
            </w:pPr>
            <w:r>
              <w:rPr>
                <w:rFonts w:ascii="Cambria" w:cs="Cambria" w:eastAsia="Cambria" w:hAnsi="Cambria"/>
                <w:b/>
                <w:bCs/>
                <w:color w:val="C8102E"/>
                <w:sz w:val="22"/>
                <w:szCs w:val="22"/>
              </w:rPr>
              <w:t xml:space="preserve">SCENARIO 8  </w:t>
            </w:r>
            <w:r>
              <w:rPr>
                <w:rFonts w:ascii="Cambria" w:cs="Cambria" w:eastAsia="Cambria" w:hAnsi="Cambria"/>
                <w:b/>
                <w:bCs/>
                <w:color w:val="1A1A1A"/>
                <w:sz w:val="22"/>
                <w:szCs w:val="22"/>
              </w:rPr>
              <w:t xml:space="preserve">Hoarding Intervention ⚠</w:t>
            </w:r>
          </w:p>
          <w:p>
            <w:pPr>
              <w:spacing w:after="40" w:line="264"/>
            </w:pPr>
            <w:r>
              <w:rPr>
                <w:b/>
                <w:bCs/>
                <w:color w:val="404040"/>
                <w:sz w:val="20"/>
                <w:szCs w:val="20"/>
              </w:rPr>
              <w:t xml:space="preserve">Setup: </w:t>
            </w:r>
            <w:r>
              <w:rPr>
                <w:sz w:val="20"/>
                <w:szCs w:val="20"/>
              </w:rPr>
              <w:t xml:space="preserve">A tech reports a unit with severe clutter, a possible pest issue, and a partially blocked exit.</w:t>
            </w:r>
          </w:p>
          <w:p>
            <w:pPr>
              <w:spacing w:after="40" w:line="264"/>
            </w:pPr>
            <w:r>
              <w:rPr>
                <w:b/>
                <w:bCs/>
                <w:color w:val="404040"/>
                <w:sz w:val="20"/>
                <w:szCs w:val="20"/>
              </w:rPr>
              <w:t xml:space="preserve">Your goal: </w:t>
            </w:r>
            <w:r>
              <w:rPr>
                <w:sz w:val="20"/>
                <w:szCs w:val="20"/>
              </w:rPr>
              <w:t xml:space="preserve">Address genuine health/safety and lease-condition issues while honoring the accommodation process.</w:t>
            </w:r>
          </w:p>
          <w:p>
            <w:pPr>
              <w:spacing w:after="20"/>
            </w:pPr>
            <w:r>
              <w:rPr>
                <w:b/>
                <w:bCs/>
                <w:color w:val="404040"/>
                <w:sz w:val="20"/>
                <w:szCs w:val="20"/>
              </w:rPr>
              <w:t xml:space="preserve">Do:</w:t>
            </w:r>
          </w:p>
          <w:p>
            <w:pPr>
              <w:pStyle w:val="ListParagraph"/>
              <w:numPr>
                <w:ilvl w:val="0"/>
                <w:numId w:val="3"/>
              </w:numPr>
              <w:spacing w:after="30" w:line="264"/>
            </w:pPr>
            <w:r>
              <w:t xml:space="preserve">Document objective conditions (blocked egress, hazards) with photos.</w:t>
            </w:r>
          </w:p>
          <w:p>
            <w:pPr>
              <w:pStyle w:val="ListParagraph"/>
              <w:numPr>
                <w:ilvl w:val="0"/>
                <w:numId w:val="3"/>
              </w:numPr>
              <w:spacing w:after="30" w:line="264"/>
            </w:pPr>
            <w:r>
              <w:t xml:space="preserve">Engage the resident with respect; offer a reasonable accommodation (time, plan, resources) before enforcement.</w:t>
            </w:r>
          </w:p>
          <w:p>
            <w:pPr>
              <w:pStyle w:val="ListParagraph"/>
              <w:numPr>
                <w:ilvl w:val="0"/>
                <w:numId w:val="3"/>
              </w:numPr>
              <w:spacing w:after="30" w:line="264"/>
            </w:pPr>
            <w:r>
              <w:t xml:space="preserve">Involve management; connect to services where appropriate.</w:t>
            </w:r>
          </w:p>
          <w:p>
            <w:pPr>
              <w:pStyle w:val="ListParagraph"/>
              <w:numPr>
                <w:ilvl w:val="0"/>
                <w:numId w:val="3"/>
              </w:numPr>
              <w:spacing w:after="30" w:line="264"/>
            </w:pPr>
            <w:r>
              <w:t xml:space="preserve">Focus on safety and lease conditions, not judgments.</w:t>
            </w:r>
          </w:p>
          <w:p>
            <w:pPr>
              <w:spacing w:after="20"/>
            </w:pPr>
            <w:r>
              <w:rPr>
                <w:b/>
                <w:bCs/>
                <w:color w:val="404040"/>
                <w:sz w:val="20"/>
                <w:szCs w:val="20"/>
              </w:rPr>
              <w:t xml:space="preserve">Don’t:</w:t>
            </w:r>
          </w:p>
          <w:p>
            <w:pPr>
              <w:pStyle w:val="ListParagraph"/>
              <w:numPr>
                <w:ilvl w:val="0"/>
                <w:numId w:val="3"/>
              </w:numPr>
              <w:spacing w:after="30" w:line="264"/>
            </w:pPr>
            <w:r>
              <w:t xml:space="preserve">Jump straight to notices; shame the resident; describe them in files as “a hoarder.”</w:t>
            </w:r>
          </w:p>
          <w:p>
            <w:pPr>
              <w:spacing w:after="40" w:line="264"/>
            </w:pPr>
            <w:r>
              <w:rPr>
                <w:b/>
                <w:bCs/>
                <w:color w:val="404040"/>
                <w:sz w:val="20"/>
                <w:szCs w:val="20"/>
              </w:rPr>
              <w:t xml:space="preserve">⚠ Fair Housing: </w:t>
            </w:r>
            <w:r>
              <w:rPr>
                <w:sz w:val="20"/>
                <w:szCs w:val="20"/>
              </w:rPr>
              <w:t xml:space="preserve">Hoarding disorder can be a protected disability. Blanket enforcement without the accommodation process can be discriminatory. Verify your process.</w:t>
            </w:r>
          </w:p>
          <w:p>
            <w:pPr>
              <w:spacing w:after="40" w:line="264"/>
            </w:pPr>
            <w:r>
              <w:rPr>
                <w:b/>
                <w:bCs/>
                <w:color w:val="404040"/>
                <w:sz w:val="20"/>
                <w:szCs w:val="20"/>
              </w:rPr>
              <w:t xml:space="preserve">Escalate when: </w:t>
            </w:r>
            <w:r>
              <w:rPr>
                <w:sz w:val="20"/>
                <w:szCs w:val="20"/>
              </w:rPr>
              <w:t xml:space="preserve">Immediate safety hazard → act on the hazard; involve management + counsel on the accommodation path.</w:t>
            </w:r>
          </w:p>
          <w:p>
            <w:pPr>
              <w:spacing w:after="40" w:line="264"/>
            </w:pPr>
            <w:r>
              <w:rPr>
                <w:b/>
                <w:bCs/>
                <w:color w:val="404040"/>
                <w:sz w:val="20"/>
                <w:szCs w:val="20"/>
              </w:rPr>
              <w:t xml:space="preserve">Twist (advanced): </w:t>
            </w:r>
            <w:r>
              <w:rPr>
                <w:sz w:val="20"/>
                <w:szCs w:val="20"/>
              </w:rPr>
              <w:t xml:space="preserve">The resident denies any problem and refuses entry for the next inspection.</w:t>
            </w:r>
          </w:p>
        </w:tc>
      </w:tr>
    </w:tbl>
    <w:tbl>
      <w:tblPr>
        <w:tblW w:type="dxa" w:w="9360"/>
        <w:tblBorders>
          <w:top w:val="single" w:color="E6E6E6" w:sz="4"/>
          <w:left w:val="single" w:color="1A1A1A"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KEY</w:t>
            </w:r>
          </w:p>
          <w:p>
            <w:pPr>
              <w:spacing w:after="120" w:line="276"/>
            </w:pPr>
            <w:r>
              <w:rPr>
                <w:b/>
                <w:bCs/>
              </w:rPr>
              <w:t xml:space="preserve">Debrief points: </w:t>
            </w:r>
            <w:r>
              <w:t xml:space="preserve">Engage-and-accommodate before enforce. Document conditions, not character. This is the sharpest Fair-Housing/lease collision — slow down and route it.</w:t>
            </w:r>
          </w:p>
        </w:tc>
      </w:tr>
    </w:tbl>
    <w:p>
      <w:r>
        <w:br w:type="page"/>
      </w:r>
    </w:p>
    <w:p>
      <w:pPr>
        <w:pStyle w:val="Heading1"/>
      </w:pPr>
      <w:r>
        <w:t xml:space="preserve">Appendix B — Knowledge Check</w:t>
      </w:r>
    </w:p>
    <w:p>
      <w:pPr>
        <w:spacing w:after="120" w:line="276"/>
      </w:pPr>
      <w:r>
        <w:t xml:space="preserve">Use as a pre/post check or discussion tool. Answer key follows.</w:t>
      </w:r>
    </w:p>
    <w:p>
      <w:pPr>
        <w:pStyle w:val="ListParagraph"/>
        <w:numPr>
          <w:ilvl w:val="0"/>
          <w:numId w:val="2"/>
        </w:numPr>
        <w:spacing w:after="50" w:line="270"/>
      </w:pPr>
      <w:r>
        <w:t xml:space="preserve">The core role of onsite staff in a mental-health situation is best described as: (a) counselor (b) diagnostician (c) connector to help (d) security.</w:t>
      </w:r>
    </w:p>
    <w:p>
      <w:pPr>
        <w:pStyle w:val="ListParagraph"/>
        <w:numPr>
          <w:ilvl w:val="0"/>
          <w:numId w:val="2"/>
        </w:numPr>
        <w:spacing w:after="50" w:line="270"/>
      </w:pPr>
      <w:r>
        <w:t xml:space="preserve">True/False: Mental illness is a protected disability under the Fair Housing Act.</w:t>
      </w:r>
    </w:p>
    <w:p>
      <w:pPr>
        <w:pStyle w:val="ListParagraph"/>
        <w:numPr>
          <w:ilvl w:val="0"/>
          <w:numId w:val="2"/>
        </w:numPr>
        <w:spacing w:after="50" w:line="270"/>
      </w:pPr>
      <w:r>
        <w:t xml:space="preserve">A resident asks for a support animal despite a no-pet policy. This is best handled as: (a) automatic denial (b) a pet-fee negotiation (c) a reasonable-accommodation request ⚠ (d) a lease violation.</w:t>
      </w:r>
    </w:p>
    <w:p>
      <w:pPr>
        <w:pStyle w:val="ListParagraph"/>
        <w:numPr>
          <w:ilvl w:val="0"/>
          <w:numId w:val="2"/>
        </w:numPr>
        <w:spacing w:after="50" w:line="270"/>
      </w:pPr>
      <w:r>
        <w:t xml:space="preserve">You may require a resident to disclose their specific diagnosis to grant an accommodation. True/False?</w:t>
      </w:r>
    </w:p>
    <w:p>
      <w:pPr>
        <w:pStyle w:val="ListParagraph"/>
        <w:numPr>
          <w:ilvl w:val="0"/>
          <w:numId w:val="2"/>
        </w:numPr>
        <w:spacing w:after="50" w:line="270"/>
      </w:pPr>
      <w:r>
        <w:t xml:space="preserve">Number to call for suicidal thoughts with no immediate physical danger: (a) 911 (b) 988 (c) non-emergency (d) EAP.</w:t>
      </w:r>
    </w:p>
    <w:p>
      <w:pPr>
        <w:pStyle w:val="ListParagraph"/>
        <w:numPr>
          <w:ilvl w:val="0"/>
          <w:numId w:val="2"/>
        </w:numPr>
        <w:spacing w:after="50" w:line="270"/>
      </w:pPr>
      <w:r>
        <w:t xml:space="preserve">The QPR model stands for: __________, __________, __________.</w:t>
      </w:r>
    </w:p>
    <w:p>
      <w:pPr>
        <w:pStyle w:val="ListParagraph"/>
        <w:numPr>
          <w:ilvl w:val="0"/>
          <w:numId w:val="2"/>
        </w:numPr>
        <w:spacing w:after="50" w:line="270"/>
      </w:pPr>
      <w:r>
        <w:t xml:space="preserve">Best documentation of a crisis: (a) “Resident is suicidal and unstable.” (b) “Resident said he felt hopeless; I stayed and called 988.”</w:t>
      </w:r>
    </w:p>
    <w:p>
      <w:pPr>
        <w:pStyle w:val="ListParagraph"/>
        <w:numPr>
          <w:ilvl w:val="0"/>
          <w:numId w:val="2"/>
        </w:numPr>
        <w:spacing w:after="50" w:line="270"/>
      </w:pPr>
      <w:r>
        <w:t xml:space="preserve">The “direct threat” standard lets you act on: (a) a general fear of mental illness (b) a genuine, current, individualized safety risk based on conduct ⚠.</w:t>
      </w:r>
    </w:p>
    <w:p>
      <w:pPr>
        <w:pStyle w:val="ListParagraph"/>
        <w:numPr>
          <w:ilvl w:val="0"/>
          <w:numId w:val="2"/>
        </w:numPr>
        <w:spacing w:after="50" w:line="270"/>
      </w:pPr>
      <w:r>
        <w:t xml:space="preserve">Name the three dimensions of burnout (Maslach).</w:t>
      </w:r>
    </w:p>
    <w:p>
      <w:pPr>
        <w:pStyle w:val="ListParagraph"/>
        <w:numPr>
          <w:ilvl w:val="0"/>
          <w:numId w:val="2"/>
        </w:numPr>
        <w:spacing w:after="50" w:line="270"/>
      </w:pPr>
      <w:r>
        <w:t xml:space="preserve">True/False: Compassion fatigue and secondary trauma are signs of personal weakness.</w:t>
      </w:r>
    </w:p>
    <w:p>
      <w:pPr>
        <w:pStyle w:val="ListParagraph"/>
        <w:numPr>
          <w:ilvl w:val="0"/>
          <w:numId w:val="2"/>
        </w:numPr>
        <w:spacing w:after="50" w:line="270"/>
      </w:pPr>
      <w:r>
        <w:t xml:space="preserve">Who has the most leverage over burnout on a team? (a) each individual’s willpower (b) supervisors/organizational conditions.</w:t>
      </w:r>
    </w:p>
    <w:p>
      <w:pPr>
        <w:pStyle w:val="ListParagraph"/>
        <w:numPr>
          <w:ilvl w:val="0"/>
          <w:numId w:val="2"/>
        </w:numPr>
        <w:spacing w:after="50" w:line="270"/>
      </w:pPr>
      <w:r>
        <w:t xml:space="preserve">First action when you find an unresponsive resident: (a) notify management (b) call 911 (c) check records (d) document.</w:t>
      </w:r>
    </w:p>
    <w:tbl>
      <w:tblPr>
        <w:tblW w:type="dxa" w:w="9360"/>
        <w:tblBorders>
          <w:top w:val="single" w:color="E6E6E6" w:sz="4"/>
          <w:left w:val="single" w:color="1A1A1A"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KEY</w:t>
            </w:r>
          </w:p>
          <w:p>
            <w:pPr>
              <w:spacing w:after="120" w:line="276"/>
            </w:pPr>
            <w:r>
              <w:rPr>
                <w:b/>
                <w:bCs/>
              </w:rPr>
              <w:t xml:space="preserve">Answer key: </w:t>
            </w:r>
            <w:r>
              <w:t xml:space="preserve">1-c • 2-True • 3-c • 4-False (need is confirmed, not diagnosis) • 5-b • 6-Question, Persuade, Refer • 7-b • 8-b • 9-emotional exhaustion, cynicism/depersonalization, reduced accomplishment • 10-False • 11-b • 12-b (911 first).</w:t>
            </w:r>
          </w:p>
        </w:tc>
      </w:tr>
    </w:tbl>
    <w:p>
      <w:pPr>
        <w:pStyle w:val="Heading1"/>
      </w:pPr>
      <w:r>
        <w:t xml:space="preserve">Appendix C — Facilitator Prep Checklist</w:t>
      </w:r>
    </w:p>
    <w:p>
      <w:pPr>
        <w:pStyle w:val="ListParagraph"/>
        <w:numPr>
          <w:ilvl w:val="0"/>
          <w:numId w:val="3"/>
        </w:numPr>
        <w:spacing w:after="50" w:line="270"/>
      </w:pPr>
      <w:r>
        <w:t xml:space="preserve">⚠ Verify current HUD/FHEO guidance, VAWA specifics, QPR framing, and crisis numbers against your policy before delivery.</w:t>
      </w:r>
    </w:p>
    <w:p>
      <w:pPr>
        <w:pStyle w:val="ListParagraph"/>
        <w:numPr>
          <w:ilvl w:val="0"/>
          <w:numId w:val="3"/>
        </w:numPr>
        <w:spacing w:after="50" w:line="270"/>
      </w:pPr>
      <w:r>
        <w:t xml:space="preserve">Localize the crisis-contact card (988, 911, local non-emergency, DV hotline, EAP, on-call).</w:t>
      </w:r>
    </w:p>
    <w:p>
      <w:pPr>
        <w:pStyle w:val="ListParagraph"/>
        <w:numPr>
          <w:ilvl w:val="0"/>
          <w:numId w:val="3"/>
        </w:numPr>
        <w:spacing w:after="50" w:line="270"/>
      </w:pPr>
      <w:r>
        <w:t xml:space="preserve">Confirm your company’s policies referenced in scenarios: entry/welfare checks, naloxone/first aid, accommodation intake, incident reporting.</w:t>
      </w:r>
    </w:p>
    <w:p>
      <w:pPr>
        <w:pStyle w:val="ListParagraph"/>
        <w:numPr>
          <w:ilvl w:val="0"/>
          <w:numId w:val="3"/>
        </w:numPr>
        <w:spacing w:after="50" w:line="270"/>
      </w:pPr>
      <w:r>
        <w:t xml:space="preserve">Have EAP details on hand; be ready to name them out loud.</w:t>
      </w:r>
    </w:p>
    <w:p>
      <w:pPr>
        <w:pStyle w:val="ListParagraph"/>
        <w:numPr>
          <w:ilvl w:val="0"/>
          <w:numId w:val="3"/>
        </w:numPr>
        <w:spacing w:after="50" w:line="270"/>
      </w:pPr>
      <w:r>
        <w:t xml:space="preserve">Print scenario cards (Appendix A) and observer checklists (Appendix D).</w:t>
      </w:r>
    </w:p>
    <w:p>
      <w:pPr>
        <w:pStyle w:val="ListParagraph"/>
        <w:numPr>
          <w:ilvl w:val="0"/>
          <w:numId w:val="3"/>
        </w:numPr>
        <w:spacing w:after="50" w:line="270"/>
      </w:pPr>
      <w:r>
        <w:t xml:space="preserve">Set ground rules: confidentiality, “no diagnosing,” respect, opt-out of personal sharing.</w:t>
      </w:r>
    </w:p>
    <w:p>
      <w:pPr>
        <w:pStyle w:val="ListParagraph"/>
        <w:numPr>
          <w:ilvl w:val="0"/>
          <w:numId w:val="3"/>
        </w:numPr>
        <w:spacing w:after="50" w:line="270"/>
      </w:pPr>
      <w:r>
        <w:t xml:space="preserve">Prepare for activation: this topic can surface personal experiences — know your local resources and be ready to step aside with someone.</w:t>
      </w:r>
    </w:p>
    <w:p>
      <w:pPr>
        <w:pStyle w:val="ListParagraph"/>
        <w:numPr>
          <w:ilvl w:val="0"/>
          <w:numId w:val="3"/>
        </w:numPr>
        <w:spacing w:after="50" w:line="270"/>
      </w:pPr>
      <w:r>
        <w:t xml:space="preserve">Decide your format (60/90/half-day/series) and pre-select which scenarios to run.</w:t>
      </w:r>
    </w:p>
    <w:p>
      <w:r>
        <w:br w:type="page"/>
      </w:r>
    </w:p>
    <w:p>
      <w:pPr>
        <w:pStyle w:val="Heading1"/>
      </w:pPr>
      <w:r>
        <w:t xml:space="preserve">Appendix D — Quick-Reference Tools</w:t>
      </w:r>
    </w:p>
    <w:p>
      <w:pPr>
        <w:pStyle w:val="Heading3"/>
      </w:pPr>
      <w:r>
        <w:t xml:space="preserve">D-1  Crisis Contact Card (localize and pocket)</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4680"/>
        <w:gridCol w:w="4680"/>
      </w:tblGrid>
      <w:tr>
        <w:trPr>
          <w:tblHeader/>
        </w:trPr>
        <w:tc>
          <w:tcPr>
            <w:tcW w:type="dxa" w:w="468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Need</w:t>
            </w:r>
          </w:p>
        </w:tc>
        <w:tc>
          <w:tcPr>
            <w:tcW w:type="dxa" w:w="468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Contact</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Immediate danger / medical emergency</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911</w:t>
            </w:r>
          </w:p>
        </w:tc>
      </w:tr>
      <w:tr>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Suicide &amp; crisis (call or text)</w:t>
            </w:r>
          </w:p>
        </w:tc>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988</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Crisis Text Line</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Text HOME to 741741</w:t>
            </w:r>
          </w:p>
        </w:tc>
      </w:tr>
      <w:tr>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SAMHSA National Helpline (treatment referral)</w:t>
            </w:r>
          </w:p>
        </w:tc>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1-800-662-HELP (4357)</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Domestic violence hotline</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1-800-799-7233</w:t>
            </w:r>
          </w:p>
        </w:tc>
      </w:tr>
      <w:tr>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Local non-emergency line</w:t>
            </w:r>
          </w:p>
        </w:tc>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__________ (fill in)</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Management / on-call</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__________ (fill in)</w:t>
            </w:r>
          </w:p>
        </w:tc>
      </w:tr>
      <w:tr>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Employee Assistance Program (EAP)</w:t>
            </w:r>
          </w:p>
        </w:tc>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__________ (fill in)</w:t>
            </w:r>
          </w:p>
        </w:tc>
      </w:tr>
    </w:tbl>
    <w:tbl>
      <w:tblPr>
        <w:tblW w:type="dxa" w:w="9360"/>
        <w:tblBorders>
          <w:top w:val="single" w:color="E6E6E6" w:sz="4"/>
          <w:left w:val="single" w:color="7F7F7F"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NOTE</w:t>
            </w:r>
          </w:p>
          <w:p>
            <w:pPr>
              <w:spacing w:after="120" w:line="276"/>
            </w:pPr>
            <w:r>
              <w:t xml:space="preserve">⚠ Confirm these numbers are current for your area before printing. Add local mobile-crisis, county behavioral-health, and pet-friendly DV resources if available.</w:t>
            </w:r>
          </w:p>
        </w:tc>
      </w:tr>
    </w:tbl>
    <w:p>
      <w:pPr>
        <w:pStyle w:val="Heading3"/>
      </w:pPr>
      <w:r>
        <w:t xml:space="preserve">D-2  Call Decision Tree</w:t>
      </w:r>
    </w:p>
    <w:p>
      <w:pPr>
        <w:pStyle w:val="ListParagraph"/>
        <w:numPr>
          <w:ilvl w:val="0"/>
          <w:numId w:val="3"/>
        </w:numPr>
        <w:spacing w:after="50" w:line="270"/>
      </w:pPr>
      <w:r>
        <w:t xml:space="preserve">Immediate danger to life/safety, weapon, violence, unresponsive, or overdose? → 911 now.</w:t>
      </w:r>
    </w:p>
    <w:p>
      <w:pPr>
        <w:pStyle w:val="ListParagraph"/>
        <w:numPr>
          <w:ilvl w:val="0"/>
          <w:numId w:val="3"/>
        </w:numPr>
        <w:spacing w:after="50" w:line="270"/>
      </w:pPr>
      <w:r>
        <w:t xml:space="preserve">Suicidal thoughts or emotional crisis, no immediate physical danger? → 988 (call or text), stay with them.</w:t>
      </w:r>
    </w:p>
    <w:p>
      <w:pPr>
        <w:pStyle w:val="ListParagraph"/>
        <w:numPr>
          <w:ilvl w:val="0"/>
          <w:numId w:val="3"/>
        </w:numPr>
        <w:spacing w:after="50" w:line="270"/>
      </w:pPr>
      <w:r>
        <w:t xml:space="preserve">Concern but no immediate danger (welfare check, disturbance)? → local non-emergency + management.</w:t>
      </w:r>
    </w:p>
    <w:p>
      <w:pPr>
        <w:pStyle w:val="ListParagraph"/>
        <w:numPr>
          <w:ilvl w:val="0"/>
          <w:numId w:val="3"/>
        </w:numPr>
        <w:spacing w:after="50" w:line="270"/>
      </w:pPr>
      <w:r>
        <w:t xml:space="preserve">It’s a coworker or it’s you, after the fact? → EAP + supervisor.</w:t>
      </w:r>
    </w:p>
    <w:p>
      <w:pPr>
        <w:pStyle w:val="ListParagraph"/>
        <w:numPr>
          <w:ilvl w:val="0"/>
          <w:numId w:val="3"/>
        </w:numPr>
        <w:spacing w:after="50" w:line="270"/>
      </w:pPr>
      <w:r>
        <w:t xml:space="preserve">Any incident at all? → notify up the chain and document.</w:t>
      </w:r>
    </w:p>
    <w:p>
      <w:pPr>
        <w:pStyle w:val="Heading3"/>
      </w:pPr>
      <w:r>
        <w:t xml:space="preserve">D-3  What to Say / What to Avoid</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4680"/>
        <w:gridCol w:w="4680"/>
      </w:tblGrid>
      <w:tr>
        <w:trPr>
          <w:tblHeader/>
        </w:trPr>
        <w:tc>
          <w:tcPr>
            <w:tcW w:type="dxa" w:w="468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Say this / do this</w:t>
            </w:r>
          </w:p>
        </w:tc>
        <w:tc>
          <w:tcPr>
            <w:tcW w:type="dxa" w:w="4680"/>
            <w:shd w:fill="404040"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Avoid this</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“I’m here. Let’s take it one step at a time.”</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“Calm down / you’re overreacting.”</w:t>
            </w:r>
          </w:p>
        </w:tc>
      </w:tr>
      <w:tr>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 want to make sure you’re safe.”</w:t>
            </w:r>
          </w:p>
        </w:tc>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“There’s nothing to be upset about.”</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“That sounds really hard.”</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 know exactly how you feel.”</w:t>
            </w:r>
          </w:p>
        </w:tc>
      </w:tr>
      <w:tr>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“Can I connect you with someone who can help?”</w:t>
            </w:r>
          </w:p>
        </w:tc>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“Just think positive.”</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Listen. Let silence do work.</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Argue, advise, or fill every pause.</w:t>
            </w:r>
          </w:p>
        </w:tc>
      </w:tr>
    </w:tbl>
    <w:p>
      <w:pPr>
        <w:pStyle w:val="Heading3"/>
      </w:pPr>
      <w:r>
        <w:t xml:space="preserve">D-4  Documentation Language: Facts, Not Diagnoses ⚠</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4680"/>
        <w:gridCol w:w="4680"/>
      </w:tblGrid>
      <w:tr>
        <w:trPr>
          <w:tblHeader/>
        </w:trPr>
        <w:tc>
          <w:tcPr>
            <w:tcW w:type="dxa" w:w="468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Say this / do this</w:t>
            </w:r>
          </w:p>
        </w:tc>
        <w:tc>
          <w:tcPr>
            <w:tcW w:type="dxa" w:w="4680"/>
            <w:shd w:fill="404040"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Avoid this</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“Resident stated he felt hopeless.”</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“Resident is suicidal.”</w:t>
            </w:r>
          </w:p>
        </w:tc>
      </w:tr>
      <w:tr>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“Unit had blocked egress (photo).”</w:t>
            </w:r>
          </w:p>
        </w:tc>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“Resident is a hoarder.”</w:t>
            </w:r>
          </w:p>
        </w:tc>
      </w:tr>
      <w:tr>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“Resident raised her voice and left at 3:10.”</w:t>
            </w:r>
          </w:p>
        </w:tc>
        <w:tc>
          <w:tcPr>
            <w:tcW w:type="dxa" w:w="468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“Resident is crazy / unstable.”</w:t>
            </w:r>
          </w:p>
        </w:tc>
      </w:tr>
      <w:tr>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 called 988 and stayed until responders arrived.”</w:t>
            </w:r>
          </w:p>
        </w:tc>
        <w:tc>
          <w:tcPr>
            <w:tcW w:type="dxa" w:w="468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“I handled the psycho situation.”</w:t>
            </w:r>
          </w:p>
        </w:tc>
      </w:tr>
    </w:tbl>
    <w:p>
      <w:pPr>
        <w:pStyle w:val="Heading3"/>
      </w:pPr>
      <w:r>
        <w:t xml:space="preserve">D-5  Observer Checklist (role-play)</w:t>
      </w:r>
    </w:p>
    <w:p>
      <w:pPr>
        <w:pStyle w:val="ListParagraph"/>
        <w:numPr>
          <w:ilvl w:val="0"/>
          <w:numId w:val="3"/>
        </w:numPr>
        <w:spacing w:after="50" w:line="270"/>
      </w:pPr>
      <w:r>
        <w:t xml:space="preserve">Did the responder regulate themselves first (voice, pace, posture)?</w:t>
      </w:r>
    </w:p>
    <w:p>
      <w:pPr>
        <w:pStyle w:val="ListParagraph"/>
        <w:numPr>
          <w:ilvl w:val="0"/>
          <w:numId w:val="3"/>
        </w:numPr>
        <w:spacing w:after="50" w:line="270"/>
      </w:pPr>
      <w:r>
        <w:t xml:space="preserve">Did they listen and reflect, rather than argue or fix?</w:t>
      </w:r>
    </w:p>
    <w:p>
      <w:pPr>
        <w:pStyle w:val="ListParagraph"/>
        <w:numPr>
          <w:ilvl w:val="0"/>
          <w:numId w:val="3"/>
        </w:numPr>
        <w:spacing w:after="50" w:line="270"/>
      </w:pPr>
      <w:r>
        <w:t xml:space="preserve">Did they keep themselves safe (space, exit)?</w:t>
      </w:r>
    </w:p>
    <w:p>
      <w:pPr>
        <w:pStyle w:val="ListParagraph"/>
        <w:numPr>
          <w:ilvl w:val="0"/>
          <w:numId w:val="3"/>
        </w:numPr>
        <w:spacing w:after="50" w:line="270"/>
      </w:pPr>
      <w:r>
        <w:t xml:space="preserve">Did they connect to the right level of help?</w:t>
      </w:r>
    </w:p>
    <w:p>
      <w:pPr>
        <w:pStyle w:val="ListParagraph"/>
        <w:numPr>
          <w:ilvl w:val="0"/>
          <w:numId w:val="3"/>
        </w:numPr>
        <w:spacing w:after="50" w:line="270"/>
      </w:pPr>
      <w:r>
        <w:t xml:space="preserve">Did they protect dignity and confidentiality?</w:t>
      </w:r>
    </w:p>
    <w:p>
      <w:pPr>
        <w:pStyle w:val="ListParagraph"/>
        <w:numPr>
          <w:ilvl w:val="0"/>
          <w:numId w:val="3"/>
        </w:numPr>
        <w:spacing w:after="50" w:line="270"/>
      </w:pPr>
      <w:r>
        <w:t xml:space="preserve">Did they avoid diagnosing or labeling?</w:t>
      </w:r>
    </w:p>
    <w:p>
      <w:pPr>
        <w:pStyle w:val="Heading3"/>
      </w:pPr>
      <w:r>
        <w:t xml:space="preserve">D-6  Fair Housing Quick Reference ⚠</w:t>
      </w:r>
    </w:p>
    <w:p>
      <w:pPr>
        <w:pStyle w:val="ListParagraph"/>
        <w:numPr>
          <w:ilvl w:val="0"/>
          <w:numId w:val="3"/>
        </w:numPr>
        <w:spacing w:after="50" w:line="270"/>
      </w:pPr>
      <w:r>
        <w:t xml:space="preserve">Mental illness is a protected disability. Respond to behavior and lease terms, never to a presumed condition.</w:t>
      </w:r>
    </w:p>
    <w:p>
      <w:pPr>
        <w:pStyle w:val="ListParagraph"/>
        <w:numPr>
          <w:ilvl w:val="0"/>
          <w:numId w:val="3"/>
        </w:numPr>
        <w:spacing w:after="50" w:line="270"/>
      </w:pPr>
      <w:r>
        <w:t xml:space="preserve">Route accommodation and assistance-animal requests through your process; don’t demand diagnoses.</w:t>
      </w:r>
    </w:p>
    <w:p>
      <w:pPr>
        <w:pStyle w:val="ListParagraph"/>
        <w:numPr>
          <w:ilvl w:val="0"/>
          <w:numId w:val="3"/>
        </w:numPr>
        <w:spacing w:after="50" w:line="270"/>
      </w:pPr>
      <w:r>
        <w:t xml:space="preserve">“Direct threat” is narrow: current, individualized, conduct-based, and only after considering accommodation.</w:t>
      </w:r>
    </w:p>
    <w:p>
      <w:pPr>
        <w:pStyle w:val="ListParagraph"/>
        <w:numPr>
          <w:ilvl w:val="0"/>
          <w:numId w:val="3"/>
        </w:numPr>
        <w:spacing w:after="50" w:line="270"/>
      </w:pPr>
      <w:r>
        <w:t xml:space="preserve">Keep health/disability info confidential and out of general notes.</w:t>
      </w:r>
    </w:p>
    <w:p>
      <w:pPr>
        <w:pStyle w:val="ListParagraph"/>
        <w:numPr>
          <w:ilvl w:val="0"/>
          <w:numId w:val="3"/>
        </w:numPr>
        <w:spacing w:after="50" w:line="270"/>
      </w:pPr>
      <w:r>
        <w:t xml:space="preserve">Apply conduct rules consistently to everyone.</w:t>
      </w:r>
    </w:p>
    <w:p>
      <w:pPr>
        <w:pStyle w:val="ListParagraph"/>
        <w:numPr>
          <w:ilvl w:val="0"/>
          <w:numId w:val="3"/>
        </w:numPr>
        <w:spacing w:after="50" w:line="270"/>
      </w:pPr>
      <w:r>
        <w:t xml:space="preserve">Hoarding and DV situations carry specific protections — slow down and involve management/counsel.</w:t>
      </w:r>
    </w:p>
    <w:p>
      <w:pPr>
        <w:pStyle w:val="ListParagraph"/>
        <w:numPr>
          <w:ilvl w:val="0"/>
          <w:numId w:val="3"/>
        </w:numPr>
        <w:spacing w:after="50" w:line="270"/>
      </w:pPr>
      <w:r>
        <w:t xml:space="preserve">When unsure, escalate before you act.</w:t>
      </w:r>
    </w:p>
    <w:p>
      <w:r>
        <w:br w:type="page"/>
      </w:r>
    </w:p>
    <w:p>
      <w:pPr>
        <w:pStyle w:val="Heading1"/>
      </w:pPr>
      <w:r>
        <w:t xml:space="preserve">Appendix E — Burnout &amp; Compassion-Fatigue Self-Check</w:t>
      </w:r>
    </w:p>
    <w:p>
      <w:pPr>
        <w:spacing w:after="120" w:line="276"/>
      </w:pPr>
      <w:r>
        <w:rPr>
          <w:b/>
          <w:bCs/>
        </w:rPr>
        <w:t xml:space="preserve">Private and unscored by the facilitator. </w:t>
      </w:r>
      <w:r>
        <w:t xml:space="preserve">Rate each 0 (never) to 4 (very often) over the past month. This is a reflection tool, not a diagnosis.</w:t>
      </w:r>
    </w:p>
    <w:p>
      <w:pPr>
        <w:pStyle w:val="ListParagraph"/>
        <w:numPr>
          <w:ilvl w:val="0"/>
          <w:numId w:val="2"/>
        </w:numPr>
        <w:spacing w:after="50" w:line="270"/>
      </w:pPr>
      <w:r>
        <w:t xml:space="preserve">I feel emotionally drained by work.</w:t>
      </w:r>
    </w:p>
    <w:p>
      <w:pPr>
        <w:pStyle w:val="ListParagraph"/>
        <w:numPr>
          <w:ilvl w:val="0"/>
          <w:numId w:val="2"/>
        </w:numPr>
        <w:spacing w:after="50" w:line="270"/>
      </w:pPr>
      <w:r>
        <w:t xml:space="preserve">I dread going in.</w:t>
      </w:r>
    </w:p>
    <w:p>
      <w:pPr>
        <w:pStyle w:val="ListParagraph"/>
        <w:numPr>
          <w:ilvl w:val="0"/>
          <w:numId w:val="2"/>
        </w:numPr>
        <w:spacing w:after="50" w:line="270"/>
      </w:pPr>
      <w:r>
        <w:t xml:space="preserve">I’ve become more callous or detached toward residents.</w:t>
      </w:r>
    </w:p>
    <w:p>
      <w:pPr>
        <w:pStyle w:val="ListParagraph"/>
        <w:numPr>
          <w:ilvl w:val="0"/>
          <w:numId w:val="2"/>
        </w:numPr>
        <w:spacing w:after="50" w:line="270"/>
      </w:pPr>
      <w:r>
        <w:t xml:space="preserve">I feel I’m not accomplishing much that matters.</w:t>
      </w:r>
    </w:p>
    <w:p>
      <w:pPr>
        <w:pStyle w:val="ListParagraph"/>
        <w:numPr>
          <w:ilvl w:val="0"/>
          <w:numId w:val="2"/>
        </w:numPr>
        <w:spacing w:after="50" w:line="270"/>
      </w:pPr>
      <w:r>
        <w:t xml:space="preserve">Small problems set me off.</w:t>
      </w:r>
    </w:p>
    <w:p>
      <w:pPr>
        <w:pStyle w:val="ListParagraph"/>
        <w:numPr>
          <w:ilvl w:val="0"/>
          <w:numId w:val="2"/>
        </w:numPr>
        <w:spacing w:after="50" w:line="270"/>
      </w:pPr>
      <w:r>
        <w:t xml:space="preserve">Sleep doesn’t leave me rested.</w:t>
      </w:r>
    </w:p>
    <w:p>
      <w:pPr>
        <w:pStyle w:val="ListParagraph"/>
        <w:numPr>
          <w:ilvl w:val="0"/>
          <w:numId w:val="2"/>
        </w:numPr>
        <w:spacing w:after="50" w:line="270"/>
      </w:pPr>
      <w:r>
        <w:t xml:space="preserve">I’m making more mistakes than usual.</w:t>
      </w:r>
    </w:p>
    <w:p>
      <w:pPr>
        <w:pStyle w:val="ListParagraph"/>
        <w:numPr>
          <w:ilvl w:val="0"/>
          <w:numId w:val="2"/>
        </w:numPr>
        <w:spacing w:after="50" w:line="270"/>
      </w:pPr>
      <w:r>
        <w:t xml:space="preserve">I feel numb after hard interactions.</w:t>
      </w:r>
    </w:p>
    <w:p>
      <w:pPr>
        <w:pStyle w:val="ListParagraph"/>
        <w:numPr>
          <w:ilvl w:val="0"/>
          <w:numId w:val="2"/>
        </w:numPr>
        <w:spacing w:after="50" w:line="270"/>
      </w:pPr>
      <w:r>
        <w:t xml:space="preserve">Others’ crises stay with me / intrude on my off time.</w:t>
      </w:r>
    </w:p>
    <w:p>
      <w:pPr>
        <w:pStyle w:val="ListParagraph"/>
        <w:numPr>
          <w:ilvl w:val="0"/>
          <w:numId w:val="2"/>
        </w:numPr>
        <w:spacing w:after="50" w:line="270"/>
      </w:pPr>
      <w:r>
        <w:t xml:space="preserve">I’ve pulled away from people I care about.</w:t>
      </w:r>
    </w:p>
    <w:p>
      <w:pPr>
        <w:pStyle w:val="ListParagraph"/>
        <w:numPr>
          <w:ilvl w:val="0"/>
          <w:numId w:val="2"/>
        </w:numPr>
        <w:spacing w:after="50" w:line="270"/>
      </w:pPr>
      <w:r>
        <w:t xml:space="preserve">I’m relying more on unhealthy coping.</w:t>
      </w:r>
    </w:p>
    <w:p>
      <w:pPr>
        <w:pStyle w:val="ListParagraph"/>
        <w:numPr>
          <w:ilvl w:val="0"/>
          <w:numId w:val="2"/>
        </w:numPr>
        <w:spacing w:after="50" w:line="270"/>
      </w:pPr>
      <w:r>
        <w:t xml:space="preserve">I can’t remember the last time I felt like myself.</w:t>
      </w:r>
    </w:p>
    <w:tbl>
      <w:tblPr>
        <w:tblW w:type="dxa" w:w="9360"/>
        <w:tblBorders>
          <w:top w:val="single" w:color="E6E6E6" w:sz="4"/>
          <w:left w:val="single" w:color="7F7F7F" w:sz="36"/>
          <w:bottom w:val="single" w:color="E6E6E6" w:sz="4"/>
          <w:right w:val="single" w:color="E6E6E6" w:sz="4"/>
          <w:insideH w:val="none" w:color="FFFFFF" w:sz="0"/>
          <w:insideV w:val="none" w:color="FFFFFF" w:sz="0"/>
        </w:tblBorders>
      </w:tblPr>
      <w:tblGrid>
        <w:gridCol w:w="9360"/>
      </w:tblGrid>
      <w:tr>
        <w:tc>
          <w:tcPr>
            <w:tcW w:type="dxa" w:w="9360"/>
            <w:shd w:fill="F2F2F2" w:val="clear"/>
            <w:tcMar>
              <w:top w:type="dxa" w:w="120"/>
              <w:left w:type="dxa" w:w="180"/>
              <w:bottom w:type="dxa" w:w="120"/>
              <w:right w:type="dxa" w:w="180"/>
            </w:tcMar>
          </w:tcPr>
          <w:p>
            <w:pPr>
              <w:spacing w:after="60"/>
            </w:pPr>
            <w:r>
              <w:rPr>
                <w:rFonts w:ascii="Cambria" w:cs="Cambria" w:eastAsia="Cambria" w:hAnsi="Cambria"/>
                <w:b/>
                <w:bCs/>
                <w:color w:val="404040"/>
                <w:sz w:val="20"/>
                <w:szCs w:val="20"/>
              </w:rPr>
              <w:t xml:space="preserve">FACILITATOR NOTE</w:t>
            </w:r>
          </w:p>
          <w:p>
            <w:pPr>
              <w:spacing w:after="120" w:line="276"/>
            </w:pPr>
            <w:r>
              <w:rPr>
                <w:b/>
                <w:bCs/>
              </w:rPr>
              <w:t xml:space="preserve">Reading it (for participants): </w:t>
            </w:r>
            <w:r>
              <w:t xml:space="preserve">This is not a score to “pass.” Notice patterns and trends. Several 3s and 4s — especially rising over time — are a signal to use your resilience plan, talk to someone, and reach out to your EAP. Persistent distress deserves professional support, exactly as you’d tell a resident.</w:t>
            </w:r>
          </w:p>
        </w:tc>
      </w:tr>
    </w:tbl>
    <w:p>
      <w:pPr>
        <w:pStyle w:val="Heading1"/>
      </w:pPr>
      <w:r>
        <w:t xml:space="preserve">Appendix F — Personal Resilience Plan</w:t>
      </w:r>
    </w:p>
    <w:p>
      <w:pPr>
        <w:spacing w:after="120" w:line="276"/>
      </w:pPr>
      <w:r>
        <w:t xml:space="preserve">Keep it small and real — one of each beats a long list you won’t use.</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4200"/>
        <w:gridCol w:w="5160"/>
      </w:tblGrid>
      <w:tr>
        <w:trPr>
          <w:tblHeader/>
        </w:trPr>
        <w:tc>
          <w:tcPr>
            <w:tcW w:type="dxa" w:w="420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Commitment</w:t>
            </w:r>
          </w:p>
        </w:tc>
        <w:tc>
          <w:tcPr>
            <w:tcW w:type="dxa" w:w="5160"/>
            <w:shd w:fill="C8102E" w:val="clear"/>
            <w:tcMar>
              <w:top w:type="dxa" w:w="70"/>
              <w:left w:type="dxa" w:w="110"/>
              <w:bottom w:type="dxa" w:w="70"/>
              <w:right w:type="dxa" w:w="110"/>
            </w:tcMar>
            <w:vAlign w:val="center"/>
          </w:tcPr>
          <w:p>
            <w:pPr>
              <w:spacing w:after="0" w:line="250"/>
              <w:jc w:val="left"/>
            </w:pPr>
            <w:r>
              <w:rPr>
                <w:rFonts w:ascii="Cambria" w:cs="Cambria" w:eastAsia="Cambria" w:hAnsi="Cambria"/>
                <w:b/>
                <w:bCs/>
                <w:color w:val="FFFFFF"/>
                <w:sz w:val="20"/>
                <w:szCs w:val="20"/>
              </w:rPr>
              <w:t xml:space="preserve">My choice</w:t>
            </w:r>
          </w:p>
        </w:tc>
      </w:tr>
      <w:tr>
        <w:tc>
          <w:tcPr>
            <w:tcW w:type="dxa" w:w="42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One boundary I’ll hold</w:t>
            </w:r>
          </w:p>
        </w:tc>
        <w:tc>
          <w:tcPr>
            <w:tcW w:type="dxa" w:w="51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__________</w:t>
            </w:r>
          </w:p>
        </w:tc>
      </w:tr>
      <w:tr>
        <w:tc>
          <w:tcPr>
            <w:tcW w:type="dxa" w:w="42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One recovery practice I’ll protect</w:t>
            </w:r>
          </w:p>
        </w:tc>
        <w:tc>
          <w:tcPr>
            <w:tcW w:type="dxa" w:w="51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__________</w:t>
            </w:r>
          </w:p>
        </w:tc>
      </w:tr>
      <w:tr>
        <w:tc>
          <w:tcPr>
            <w:tcW w:type="dxa" w:w="42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One support I’ll actually use</w:t>
            </w:r>
          </w:p>
        </w:tc>
        <w:tc>
          <w:tcPr>
            <w:tcW w:type="dxa" w:w="51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__________</w:t>
            </w:r>
          </w:p>
        </w:tc>
      </w:tr>
      <w:tr>
        <w:tc>
          <w:tcPr>
            <w:tcW w:type="dxa" w:w="42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My earliest warning sign to watch</w:t>
            </w:r>
          </w:p>
        </w:tc>
        <w:tc>
          <w:tcPr>
            <w:tcW w:type="dxa" w:w="51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__________</w:t>
            </w:r>
          </w:p>
        </w:tc>
      </w:tr>
      <w:tr>
        <w:tc>
          <w:tcPr>
            <w:tcW w:type="dxa" w:w="420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Who I’ll tell / check in with</w:t>
            </w:r>
          </w:p>
        </w:tc>
        <w:tc>
          <w:tcPr>
            <w:tcW w:type="dxa" w:w="5160"/>
            <w:shd w:fill="FFFFFF"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__________</w:t>
            </w:r>
          </w:p>
        </w:tc>
      </w:tr>
      <w:tr>
        <w:tc>
          <w:tcPr>
            <w:tcW w:type="dxa" w:w="420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My EAP / crisis number</w:t>
            </w:r>
          </w:p>
        </w:tc>
        <w:tc>
          <w:tcPr>
            <w:tcW w:type="dxa" w:w="5160"/>
            <w:shd w:fill="F2F2F2" w:val="clear"/>
            <w:tcMar>
              <w:top w:type="dxa" w:w="70"/>
              <w:left w:type="dxa" w:w="110"/>
              <w:bottom w:type="dxa" w:w="70"/>
              <w:right w:type="dxa" w:w="110"/>
            </w:tcMar>
            <w:vAlign w:val="center"/>
          </w:tcPr>
          <w:p>
            <w:pPr>
              <w:spacing w:after="0" w:line="250"/>
              <w:jc w:val="left"/>
            </w:pPr>
            <w:r>
              <w:rPr>
                <w:rFonts w:ascii="Calibri" w:cs="Calibri" w:eastAsia="Calibri" w:hAnsi="Calibri"/>
                <w:b w:val="false"/>
                <w:bCs w:val="false"/>
                <w:color w:val="1A1A1A"/>
                <w:sz w:val="20"/>
                <w:szCs w:val="20"/>
              </w:rPr>
              <w:t xml:space="preserve">__________</w:t>
            </w:r>
          </w:p>
        </w:tc>
      </w:tr>
    </w:tbl>
    <w:p>
      <w:r>
        <w:br w:type="page"/>
      </w:r>
    </w:p>
    <w:p>
      <w:pPr>
        <w:pStyle w:val="Heading1"/>
      </w:pPr>
      <w:r>
        <w:t xml:space="preserve">Appendix G — References &amp; Further Reading</w:t>
      </w:r>
    </w:p>
    <w:tbl>
      <w:tblPr>
        <w:tblW w:type="dxa" w:w="9360"/>
        <w:tblBorders>
          <w:top w:val="single" w:color="E6E6E6" w:sz="4"/>
          <w:left w:val="single" w:color="C8102E" w:sz="36"/>
          <w:bottom w:val="single" w:color="E6E6E6" w:sz="4"/>
          <w:right w:val="single" w:color="E6E6E6" w:sz="4"/>
          <w:insideH w:val="none" w:color="FFFFFF" w:sz="0"/>
          <w:insideV w:val="none" w:color="FFFFFF" w:sz="0"/>
        </w:tblBorders>
      </w:tblPr>
      <w:tblGrid>
        <w:gridCol w:w="9360"/>
      </w:tblGrid>
      <w:tr>
        <w:tc>
          <w:tcPr>
            <w:tcW w:type="dxa" w:w="9360"/>
            <w:shd w:fill="FBEAEC" w:val="clear"/>
            <w:tcMar>
              <w:top w:type="dxa" w:w="120"/>
              <w:left w:type="dxa" w:w="180"/>
              <w:bottom w:type="dxa" w:w="120"/>
              <w:right w:type="dxa" w:w="180"/>
            </w:tcMar>
          </w:tcPr>
          <w:p>
            <w:pPr>
              <w:spacing w:after="60"/>
            </w:pPr>
            <w:r>
              <w:rPr>
                <w:rFonts w:ascii="Cambria" w:cs="Cambria" w:eastAsia="Cambria" w:hAnsi="Cambria"/>
                <w:b/>
                <w:bCs/>
                <w:color w:val="8A0F1F"/>
                <w:sz w:val="20"/>
                <w:szCs w:val="20"/>
              </w:rPr>
              <w:t xml:space="preserve">⚠ FAIR HOUSING WATCH-OUT</w:t>
            </w:r>
          </w:p>
          <w:p>
            <w:pPr>
              <w:spacing w:after="120" w:line="276"/>
            </w:pPr>
            <w:r>
              <w:rPr>
                <w:b/>
                <w:bCs/>
              </w:rPr>
              <w:t xml:space="preserve">Verification caveat. </w:t>
            </w:r>
            <w:r>
              <w:t xml:space="preserve">These sources were assembled from general professional knowledge without live access to any database, and citation details may be incomplete or imperfect. Independently verify every source, statistic, phone number, legal standard, and clinical model against the original and current authority before using this material in any CE, certification, or compliance context.</w:t>
            </w:r>
          </w:p>
        </w:tc>
      </w:tr>
    </w:tbl>
    <w:p>
      <w:pPr>
        <w:pStyle w:val="Heading3"/>
      </w:pPr>
      <w:r>
        <w:t xml:space="preserve">Fair Housing, disability &amp; related legal ⚠</w:t>
      </w:r>
    </w:p>
    <w:p>
      <w:pPr>
        <w:pStyle w:val="ListParagraph"/>
        <w:numPr>
          <w:ilvl w:val="0"/>
          <w:numId w:val="3"/>
        </w:numPr>
        <w:spacing w:after="50" w:line="270"/>
      </w:pPr>
      <w:r>
        <w:t xml:space="preserve">U.S. Department of Housing and Urban Development (HUD) &amp; Office of Fair Housing and Equal Opportunity (FHEO) — Fair Housing Act; disability rights; reasonable accommodations and modifications.</w:t>
      </w:r>
    </w:p>
    <w:p>
      <w:pPr>
        <w:pStyle w:val="ListParagraph"/>
        <w:numPr>
          <w:ilvl w:val="0"/>
          <w:numId w:val="3"/>
        </w:numPr>
        <w:spacing w:after="50" w:line="270"/>
      </w:pPr>
      <w:r>
        <w:t xml:space="preserve">HUD/DOJ Joint Statement on Reasonable Accommodations under the Fair Housing Act.</w:t>
      </w:r>
    </w:p>
    <w:p>
      <w:pPr>
        <w:pStyle w:val="ListParagraph"/>
        <w:numPr>
          <w:ilvl w:val="0"/>
          <w:numId w:val="3"/>
        </w:numPr>
        <w:spacing w:after="50" w:line="270"/>
      </w:pPr>
      <w:r>
        <w:t xml:space="preserve">HUD guidance on assistance animals in housing.</w:t>
      </w:r>
    </w:p>
    <w:p>
      <w:pPr>
        <w:pStyle w:val="ListParagraph"/>
        <w:numPr>
          <w:ilvl w:val="0"/>
          <w:numId w:val="3"/>
        </w:numPr>
        <w:spacing w:after="50" w:line="270"/>
      </w:pPr>
      <w:r>
        <w:t xml:space="preserve">Violence Against Women Act (VAWA) housing protections.</w:t>
      </w:r>
    </w:p>
    <w:p>
      <w:pPr>
        <w:pStyle w:val="ListParagraph"/>
        <w:numPr>
          <w:ilvl w:val="0"/>
          <w:numId w:val="3"/>
        </w:numPr>
        <w:spacing w:after="50" w:line="270"/>
      </w:pPr>
      <w:r>
        <w:t xml:space="preserve">Company Fair Housing policy and legal counsel (internal).</w:t>
      </w:r>
    </w:p>
    <w:p>
      <w:pPr>
        <w:pStyle w:val="Heading3"/>
      </w:pPr>
      <w:r>
        <w:t xml:space="preserve">Crisis response &amp; mental-health first aid</w:t>
      </w:r>
    </w:p>
    <w:p>
      <w:pPr>
        <w:pStyle w:val="ListParagraph"/>
        <w:numPr>
          <w:ilvl w:val="0"/>
          <w:numId w:val="3"/>
        </w:numPr>
        <w:spacing w:after="50" w:line="270"/>
      </w:pPr>
      <w:r>
        <w:t xml:space="preserve">988 Suicide &amp; Crisis Lifeline.</w:t>
      </w:r>
    </w:p>
    <w:p>
      <w:pPr>
        <w:pStyle w:val="ListParagraph"/>
        <w:numPr>
          <w:ilvl w:val="0"/>
          <w:numId w:val="3"/>
        </w:numPr>
        <w:spacing w:after="50" w:line="270"/>
      </w:pPr>
      <w:r>
        <w:t xml:space="preserve">Crisis Text Line.</w:t>
      </w:r>
    </w:p>
    <w:p>
      <w:pPr>
        <w:pStyle w:val="ListParagraph"/>
        <w:numPr>
          <w:ilvl w:val="0"/>
          <w:numId w:val="3"/>
        </w:numPr>
        <w:spacing w:after="50" w:line="270"/>
      </w:pPr>
      <w:r>
        <w:t xml:space="preserve">SAMHSA (Substance Abuse and Mental Health Services Administration) — National Helpline and crisis resources.</w:t>
      </w:r>
    </w:p>
    <w:p>
      <w:pPr>
        <w:pStyle w:val="ListParagraph"/>
        <w:numPr>
          <w:ilvl w:val="0"/>
          <w:numId w:val="3"/>
        </w:numPr>
        <w:spacing w:after="50" w:line="270"/>
      </w:pPr>
      <w:r>
        <w:t xml:space="preserve">QPR Institute — Question, Persuade, Refer gatekeeper model.</w:t>
      </w:r>
    </w:p>
    <w:p>
      <w:pPr>
        <w:pStyle w:val="ListParagraph"/>
        <w:numPr>
          <w:ilvl w:val="0"/>
          <w:numId w:val="3"/>
        </w:numPr>
        <w:spacing w:after="50" w:line="270"/>
      </w:pPr>
      <w:r>
        <w:t xml:space="preserve">Mental Health First Aid — National Council for Mental Wellbeing.</w:t>
      </w:r>
    </w:p>
    <w:p>
      <w:pPr>
        <w:pStyle w:val="ListParagraph"/>
        <w:numPr>
          <w:ilvl w:val="0"/>
          <w:numId w:val="3"/>
        </w:numPr>
        <w:spacing w:after="50" w:line="270"/>
      </w:pPr>
      <w:r>
        <w:t xml:space="preserve">Crisis Prevention Institute (CPI) — de-escalation.</w:t>
      </w:r>
    </w:p>
    <w:p>
      <w:pPr>
        <w:pStyle w:val="ListParagraph"/>
        <w:numPr>
          <w:ilvl w:val="0"/>
          <w:numId w:val="3"/>
        </w:numPr>
        <w:spacing w:after="50" w:line="270"/>
      </w:pPr>
      <w:r>
        <w:t xml:space="preserve">National Domestic Violence Hotline.</w:t>
      </w:r>
    </w:p>
    <w:p>
      <w:pPr>
        <w:pStyle w:val="Heading3"/>
      </w:pPr>
      <w:r>
        <w:t xml:space="preserve">Burnout, compassion fatigue &amp; resilience</w:t>
      </w:r>
    </w:p>
    <w:p>
      <w:pPr>
        <w:pStyle w:val="ListParagraph"/>
        <w:numPr>
          <w:ilvl w:val="0"/>
          <w:numId w:val="3"/>
        </w:numPr>
        <w:spacing w:after="50" w:line="270"/>
      </w:pPr>
      <w:r>
        <w:t xml:space="preserve">Maslach, C., &amp; Leiter, M. P. — research on burnout and its organizational drivers; Maslach Burnout Inventory (MBI).</w:t>
      </w:r>
    </w:p>
    <w:p>
      <w:pPr>
        <w:pStyle w:val="ListParagraph"/>
        <w:numPr>
          <w:ilvl w:val="0"/>
          <w:numId w:val="3"/>
        </w:numPr>
        <w:spacing w:after="50" w:line="270"/>
      </w:pPr>
      <w:r>
        <w:t xml:space="preserve">World Health Organization — burnout as an occupational phenomenon (ICD-11).</w:t>
      </w:r>
    </w:p>
    <w:p>
      <w:pPr>
        <w:pStyle w:val="ListParagraph"/>
        <w:numPr>
          <w:ilvl w:val="0"/>
          <w:numId w:val="3"/>
        </w:numPr>
        <w:spacing w:after="50" w:line="270"/>
      </w:pPr>
      <w:r>
        <w:t xml:space="preserve">Stamm, B. H. — Professional Quality of Life (ProQOL) measure (compassion satisfaction &amp; fatigue).</w:t>
      </w:r>
    </w:p>
    <w:p>
      <w:pPr>
        <w:pStyle w:val="ListParagraph"/>
        <w:numPr>
          <w:ilvl w:val="0"/>
          <w:numId w:val="3"/>
        </w:numPr>
        <w:spacing w:after="50" w:line="270"/>
      </w:pPr>
      <w:r>
        <w:t xml:space="preserve">Figley, C. — compassion fatigue / secondary traumatic stress.</w:t>
      </w:r>
    </w:p>
    <w:p>
      <w:pPr>
        <w:pStyle w:val="ListParagraph"/>
        <w:numPr>
          <w:ilvl w:val="0"/>
          <w:numId w:val="3"/>
        </w:numPr>
        <w:spacing w:after="50" w:line="270"/>
      </w:pPr>
      <w:r>
        <w:t xml:space="preserve">Employee Assistance Program (EAP) provider materials (internal).</w:t>
      </w:r>
    </w:p>
    <w:p>
      <w:pPr>
        <w:pStyle w:val="Heading3"/>
      </w:pPr>
      <w:r>
        <w:t xml:space="preserve">Communication &amp; conflict (companion models)</w:t>
      </w:r>
    </w:p>
    <w:p>
      <w:pPr>
        <w:pStyle w:val="ListParagraph"/>
        <w:numPr>
          <w:ilvl w:val="0"/>
          <w:numId w:val="3"/>
        </w:numPr>
        <w:spacing w:after="50" w:line="270"/>
      </w:pPr>
      <w:r>
        <w:t xml:space="preserve">Patterson, Grenny, McMillan, Switzler — Crucial Conversations.</w:t>
      </w:r>
    </w:p>
    <w:p>
      <w:pPr>
        <w:pStyle w:val="ListParagraph"/>
        <w:numPr>
          <w:ilvl w:val="0"/>
          <w:numId w:val="3"/>
        </w:numPr>
        <w:spacing w:after="50" w:line="270"/>
      </w:pPr>
      <w:r>
        <w:t xml:space="preserve">Rosenberg, M. — Nonviolent Communication.</w:t>
      </w:r>
    </w:p>
    <w:p>
      <w:pPr>
        <w:pStyle w:val="ListParagraph"/>
        <w:numPr>
          <w:ilvl w:val="0"/>
          <w:numId w:val="3"/>
        </w:numPr>
        <w:spacing w:after="50" w:line="270"/>
      </w:pPr>
      <w:r>
        <w:t xml:space="preserve">Fisher &amp; Ury — Getting to Yes (interest-based approaches).</w:t>
      </w:r>
    </w:p>
    <w:p>
      <w:pPr>
        <w:pStyle w:val="Heading3"/>
      </w:pPr>
      <w:r>
        <w:t xml:space="preserve">Industry</w:t>
      </w:r>
    </w:p>
    <w:p>
      <w:pPr>
        <w:pStyle w:val="ListParagraph"/>
        <w:numPr>
          <w:ilvl w:val="0"/>
          <w:numId w:val="3"/>
        </w:numPr>
        <w:spacing w:after="50" w:line="270"/>
      </w:pPr>
      <w:r>
        <w:t xml:space="preserve">National Apartment Association (NAA) / NAAEI — professional education and credentialing standards.</w:t>
      </w:r>
    </w:p>
    <w:p>
      <w:pPr>
        <w:pStyle w:val="ListParagraph"/>
        <w:numPr>
          <w:ilvl w:val="0"/>
          <w:numId w:val="3"/>
        </w:numPr>
        <w:spacing w:after="50" w:line="270"/>
      </w:pPr>
      <w:r>
        <w:t xml:space="preserve">State and local apartment association resources and legal updates.</w:t>
      </w:r>
    </w:p>
    <w:p>
      <w:pPr>
        <w:spacing w:after="120"/>
      </w:pPr>
      <w:r>
        <w:t xml:space="preserve"/>
      </w:r>
    </w:p>
    <w:p>
      <w:pPr>
        <w:pBdr>
          <w:top w:val="single" w:color="D9D9D9" w:sz="6"/>
        </w:pBdr>
        <w:spacing w:after="40" w:before="120"/>
      </w:pPr>
      <w:r>
        <w:t xml:space="preserve"/>
      </w:r>
    </w:p>
    <w:p>
      <w:r>
        <w:rPr>
          <w:b/>
          <w:bCs/>
          <w:color w:val="404040"/>
          <w:sz w:val="18"/>
          <w:szCs w:val="18"/>
        </w:rPr>
        <w:t xml:space="preserve">Sensitive-topic note: </w:t>
      </w:r>
      <w:r>
        <w:rPr>
          <w:i/>
          <w:iCs/>
          <w:color w:val="404040"/>
          <w:sz w:val="18"/>
          <w:szCs w:val="18"/>
        </w:rPr>
        <w:t xml:space="preserve">This material addresses suicide, crisis, and trauma. Facilitators should open a support pathway (EAP, local resources) and give participants permission to step out. If you or someone you know is struggling, 988 (call or text) is available 24/7.</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pBdr>
      <w:spacing w:before="40"/>
      <w:jc w:val="center"/>
    </w:pPr>
    <w:r>
      <w:rPr>
        <w:color w:val="7F7F7F"/>
        <w:sz w:val="16"/>
        <w:szCs w:val="16"/>
      </w:rPr>
      <w:t xml:space="preserve">Facilitator Outline  •  Draft 1.0  •  Page </w:t>
    </w:r>
    <w:r>
      <w:rPr>
        <w:color w:val="7F7F7F"/>
        <w:sz w:val="16"/>
        <w:szCs w:val="16"/>
      </w:rPr>
      <w:fldChar w:fldCharType="begin"/>
      <w:instrText xml:space="preserve">PAGE</w:instrText>
      <w:fldChar w:fldCharType="separate"/>
      <w:fldChar w:fldCharType="end"/>
    </w:r>
    <w:r>
      <w:rPr>
        <w:color w:val="7F7F7F"/>
        <w:sz w:val="16"/>
        <w:szCs w:val="16"/>
      </w:rPr>
      <w:t xml:space="preserve"> of </w:t>
    </w:r>
    <w:r>
      <w:rPr>
        <w:color w:val="7F7F7F"/>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9D9" w:sz="4"/>
      </w:pBdr>
      <w:spacing w:after="40"/>
    </w:pPr>
    <w:r>
      <w:rPr>
        <w:rFonts w:ascii="Cambria" w:cs="Cambria" w:eastAsia="Cambria" w:hAnsi="Cambria"/>
        <w:color w:val="7F7F7F"/>
        <w:sz w:val="16"/>
        <w:szCs w:val="16"/>
      </w:rPr>
      <w:t xml:space="preserve">When the Weight Shows Up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C8102E"/>
      </w:rPr>
    </w:lvl>
    <w:lvl w:ilvl="1" w15:tentative="1">
      <w:start w:val="1"/>
      <w:numFmt w:val="bullet"/>
      <w:lvlText w:val="–"/>
      <w:lvlJc w:val="left"/>
      <w:pPr>
        <w:ind w:left="720" w:hanging="200"/>
      </w:pPr>
      <w:rPr>
        <w:color w:val="7F7F7F"/>
      </w:rPr>
    </w:lvl>
    <w:lvl w:ilvl="2" w15:tentative="1">
      <w:start w:val="1"/>
      <w:numFmt w:val="bullet"/>
      <w:lvlText w:val="·"/>
      <w:lvlJc w:val="left"/>
      <w:pPr>
        <w:ind w:left="1080" w:hanging="200"/>
      </w:pPr>
    </w:lvl>
  </w:abstractNum>
  <w:abstractNum w:abstractNumId="3" w15:restartNumberingAfterBreak="0">
    <w:multiLevelType w:val="hybridMultilevel"/>
    <w:lvl w:ilvl="0" w15:tentative="1">
      <w:start w:val="1"/>
      <w:numFmt w:val="decimal"/>
      <w:lvlText w:val="%1."/>
      <w:lvlJc w:val="left"/>
      <w:pPr>
        <w:ind w:left="400" w:hanging="260"/>
      </w:pPr>
      <w:rPr>
        <w:b/>
        <w:bCs/>
        <w:color w:val="C8102E"/>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after="120" w:before="320"/>
      <w:outlineLvl w:val="0"/>
    </w:pPr>
    <w:rPr>
      <w:rFonts w:ascii="Cambria" w:cs="Cambria" w:eastAsia="Cambria" w:hAnsi="Cambria"/>
      <w:b/>
      <w:bCs/>
      <w:color w:val="C8102E"/>
      <w:sz w:val="32"/>
      <w:szCs w:val="32"/>
    </w:rPr>
  </w:style>
  <w:style w:type="paragraph" w:styleId="Heading2">
    <w:name w:val="Heading 2"/>
    <w:basedOn w:val="Normal"/>
    <w:next w:val="Normal"/>
    <w:qFormat/>
    <w:pPr>
      <w:keepNext/>
      <w:spacing w:after="100" w:before="240"/>
      <w:outlineLvl w:val="1"/>
    </w:pPr>
    <w:rPr>
      <w:rFonts w:ascii="Cambria" w:cs="Cambria" w:eastAsia="Cambria" w:hAnsi="Cambria"/>
      <w:b/>
      <w:bCs/>
      <w:color w:val="1A1A1A"/>
      <w:sz w:val="26"/>
      <w:szCs w:val="26"/>
    </w:rPr>
  </w:style>
  <w:style w:type="paragraph" w:styleId="Heading3">
    <w:name w:val="Heading 3"/>
    <w:basedOn w:val="Normal"/>
    <w:next w:val="Normal"/>
    <w:qFormat/>
    <w:pPr>
      <w:keepNext/>
      <w:spacing w:after="70" w:before="180"/>
      <w:outlineLvl w:val="2"/>
    </w:pPr>
    <w:rPr>
      <w:rFonts w:ascii="Cambria" w:cs="Cambria" w:eastAsia="Cambria" w:hAnsi="Cambria"/>
      <w:b/>
      <w:bCs/>
      <w:color w:val="404040"/>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Crisis, Mental Health &amp; Employee Resilience — Facilitator Outline</dc:title>
  <dc:creator>Apartment Association Training</dc:creator>
  <cp:lastModifiedBy>Un-named</cp:lastModifiedBy>
  <cp:revision>1</cp:revision>
  <dcterms:created xsi:type="dcterms:W3CDTF">2026-08-25T14:35:39.914Z</dcterms:created>
  <dcterms:modified xsi:type="dcterms:W3CDTF">2026-08-25T14:35:39.930Z</dcterms:modified>
</cp:coreProperties>
</file>

<file path=docProps/custom.xml><?xml version="1.0" encoding="utf-8"?>
<Properties xmlns="http://schemas.openxmlformats.org/officeDocument/2006/custom-properties" xmlns:vt="http://schemas.openxmlformats.org/officeDocument/2006/docPropsVTypes"/>
</file>