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2288" w14:textId="77777777" w:rsidR="001D63A3" w:rsidRDefault="00000000">
      <w:pPr>
        <w:spacing w:after="40"/>
      </w:pPr>
      <w:r>
        <w:rPr>
          <w:rFonts w:ascii="Calibri" w:hAnsi="Calibri"/>
          <w:b/>
          <w:color w:val="595959"/>
          <w:sz w:val="20"/>
        </w:rPr>
        <w:t>INDEPENDENT SCHOOL GOVERNANCE &amp; BUSINESS OFFICE OPERATIONS</w:t>
      </w:r>
      <w:r>
        <w:rPr>
          <w:rFonts w:ascii="Calibri" w:hAnsi="Calibri"/>
          <w:b/>
          <w:color w:val="595959"/>
          <w:sz w:val="20"/>
        </w:rPr>
        <w:br/>
      </w:r>
      <w:r>
        <w:rPr>
          <w:rFonts w:ascii="Calibri" w:hAnsi="Calibri"/>
          <w:b/>
          <w:color w:val="1F4E79"/>
          <w:sz w:val="44"/>
        </w:rPr>
        <w:t>OFAC Sanctions Compliance Policy &amp; Operating Manual</w:t>
      </w:r>
    </w:p>
    <w:p w14:paraId="34627806" w14:textId="77777777" w:rsidR="001D63A3" w:rsidRDefault="00000000">
      <w:pPr>
        <w:spacing w:before="40" w:after="360"/>
      </w:pPr>
      <w:r>
        <w:rPr>
          <w:rFonts w:ascii="Calibri" w:hAnsi="Calibri"/>
          <w:i/>
          <w:color w:val="595959"/>
          <w:sz w:val="24"/>
        </w:rPr>
        <w:t>A Risk-Based Compliance Framework, Operational Workflows, and Standard Operating Procedures for Independent Schools</w:t>
      </w:r>
    </w:p>
    <w:p w14:paraId="40A355FF" w14:textId="77777777" w:rsidR="001D63A3" w:rsidRDefault="00000000">
      <w:pPr>
        <w:pStyle w:val="Heading1"/>
      </w:pPr>
      <w:r>
        <w:t>Table of Contents</w:t>
      </w:r>
    </w:p>
    <w:p w14:paraId="5526ECFB" w14:textId="77777777" w:rsidR="001D63A3" w:rsidRDefault="00000000">
      <w:pPr>
        <w:spacing w:after="240"/>
      </w:pPr>
      <w:r>
        <w:rPr>
          <w:i/>
          <w:color w:val="595959"/>
          <w:sz w:val="19"/>
        </w:rPr>
        <w:t>Right-click the box below and select 'Update Field' in Microsoft Word or Google Docs to generate complete page numbers.</w:t>
      </w:r>
    </w:p>
    <w:p w14:paraId="515E2EC0" w14:textId="77777777" w:rsidR="001D63A3" w:rsidRDefault="00000000">
      <w:pPr>
        <w:spacing w:after="480"/>
      </w:pPr>
      <w:r>
        <w:fldChar w:fldCharType="begin"/>
      </w:r>
      <w:r>
        <w:instrText>TOC \o "1-3" \h \z \u</w:instrText>
      </w:r>
      <w:r>
        <w:fldChar w:fldCharType="end"/>
      </w:r>
    </w:p>
    <w:p w14:paraId="2534663A" w14:textId="77777777" w:rsidR="001D63A3" w:rsidRDefault="00000000">
      <w:pPr>
        <w:pStyle w:val="Heading1"/>
      </w:pPr>
      <w:r>
        <w:t>1. Purpose, Legal Authority &amp; Scope</w:t>
      </w:r>
    </w:p>
    <w:p w14:paraId="664276D1" w14:textId="77777777" w:rsidR="001D63A3" w:rsidRDefault="00000000">
      <w:pPr>
        <w:spacing w:after="160"/>
      </w:pPr>
      <w:r>
        <w:rPr>
          <w:rFonts w:ascii="Calibri" w:hAnsi="Calibri"/>
        </w:rPr>
        <w:t xml:space="preserve">Independent schools in the United States operate under legal obligations governed by U.S. economic and trade sanctions laws. The </w:t>
      </w:r>
      <w:r>
        <w:rPr>
          <w:rFonts w:ascii="Calibri" w:hAnsi="Calibri"/>
          <w:b/>
        </w:rPr>
        <w:t>Office of Foreign Assets Control (OFAC)</w:t>
      </w:r>
      <w:r>
        <w:rPr>
          <w:rFonts w:ascii="Calibri" w:hAnsi="Calibri"/>
        </w:rPr>
        <w:t>, an executive branch agency within the U.S. Department of the Treasury, administers and enforces economic sanctions targeting foreign countries, regimes, designated terrorists, narcotics traffickers, and entities threatening national security.</w:t>
      </w:r>
    </w:p>
    <w:p w14:paraId="1ED50F29" w14:textId="77777777" w:rsidR="001D63A3" w:rsidRDefault="00000000">
      <w:pPr>
        <w:spacing w:after="160"/>
      </w:pPr>
      <w:r>
        <w:rPr>
          <w:rFonts w:ascii="Calibri" w:hAnsi="Calibri"/>
        </w:rPr>
        <w:t>OFAC regulations apply universally to all U.S. citizens, permanent resident aliens, entities organized under U.S. law (including tax-exempt non-profit independent schools and their foreign branches or subsidiaries), and any person or financial transaction operating within or passing through the United States.</w:t>
      </w:r>
    </w:p>
    <w:tbl>
      <w:tblPr>
        <w:tblW w:w="0" w:type="auto"/>
        <w:jc w:val="center"/>
        <w:tblLook w:val="04A0" w:firstRow="1" w:lastRow="0" w:firstColumn="1" w:lastColumn="0" w:noHBand="0" w:noVBand="1"/>
      </w:tblPr>
      <w:tblGrid>
        <w:gridCol w:w="9330"/>
      </w:tblGrid>
      <w:tr w:rsidR="001D63A3" w14:paraId="09FA1B1B" w14:textId="77777777">
        <w:trPr>
          <w:jc w:val="center"/>
        </w:trPr>
        <w:tc>
          <w:tcPr>
            <w:tcW w:w="9360" w:type="dxa"/>
            <w:tcBorders>
              <w:left w:val="single" w:sz="24" w:space="0" w:color="C00000"/>
            </w:tcBorders>
            <w:shd w:val="clear" w:color="auto" w:fill="F2F4F7"/>
            <w:tcMar>
              <w:top w:w="140" w:type="dxa"/>
              <w:left w:w="200" w:type="dxa"/>
              <w:bottom w:w="140" w:type="dxa"/>
              <w:right w:w="200" w:type="dxa"/>
            </w:tcMar>
          </w:tcPr>
          <w:p w14:paraId="6EB36C90" w14:textId="77777777" w:rsidR="001D63A3" w:rsidRDefault="00000000">
            <w:pPr>
              <w:spacing w:before="40" w:after="80"/>
            </w:pPr>
            <w:r>
              <w:rPr>
                <w:rFonts w:ascii="Calibri" w:hAnsi="Calibri"/>
                <w:b/>
                <w:color w:val="1F4E79"/>
              </w:rPr>
              <w:t>■ CRITICAL LEGAL PRINCIPLE: STRICT LIABILITY STANDARD</w:t>
            </w:r>
            <w:r>
              <w:rPr>
                <w:rFonts w:ascii="Calibri" w:hAnsi="Calibri"/>
                <w:b/>
                <w:color w:val="1F4E79"/>
              </w:rPr>
              <w:br/>
            </w:r>
            <w:r>
              <w:rPr>
                <w:rFonts w:ascii="Calibri" w:hAnsi="Calibri"/>
                <w:color w:val="262626"/>
                <w:sz w:val="21"/>
              </w:rPr>
              <w:t>U.S. economic sanctions operate under a STRICT LIABILITY legal standard. An independent school can be found civilly liable for a sanctions violation even if school personnel had no knowledge, intent, or reason to know that a payor, student, donor, or vendor was a sanctioned entity.</w:t>
            </w:r>
          </w:p>
          <w:p w14:paraId="7458B3E4" w14:textId="77777777" w:rsidR="001D63A3" w:rsidRDefault="00000000">
            <w:pPr>
              <w:spacing w:before="40" w:after="80"/>
            </w:pPr>
            <w:r>
              <w:rPr>
                <w:rFonts w:ascii="Calibri" w:hAnsi="Calibri"/>
                <w:color w:val="262626"/>
                <w:sz w:val="21"/>
              </w:rPr>
              <w:t>Lack of awareness or intent is NOT a defense under federal law. Civil monetary penalties exceed $377,700 per violation (or double the underlying transaction value). Criminal penalties for willful violations reach up to $1,000,000 per violation and 20 years imprisonment for responsible officials.</w:t>
            </w:r>
          </w:p>
        </w:tc>
      </w:tr>
    </w:tbl>
    <w:p w14:paraId="5AEE963A" w14:textId="77777777" w:rsidR="001D63A3" w:rsidRDefault="001D63A3">
      <w:pPr>
        <w:spacing w:after="120"/>
      </w:pPr>
    </w:p>
    <w:p w14:paraId="0E060A7C" w14:textId="77777777" w:rsidR="001D63A3" w:rsidRDefault="00000000">
      <w:pPr>
        <w:pStyle w:val="Heading2"/>
      </w:pPr>
      <w:r>
        <w:t>Enforcement Context &amp; Institutional Risk</w:t>
      </w:r>
    </w:p>
    <w:p w14:paraId="18CD019A" w14:textId="77777777" w:rsidR="001D63A3" w:rsidRDefault="00000000">
      <w:pPr>
        <w:spacing w:after="160"/>
      </w:pPr>
      <w:r>
        <w:rPr>
          <w:rFonts w:ascii="Calibri" w:hAnsi="Calibri"/>
        </w:rPr>
        <w:t xml:space="preserve">Federal enforcement proceedings against academic institutions demonstrate that educational organizations face active regulatory scrutiny. In notable enforcement actions (such as the IMG Academy settlement exceeding $300,000 in civil penalties), educational institutions were penalized after </w:t>
      </w:r>
      <w:r>
        <w:rPr>
          <w:rFonts w:ascii="Calibri" w:hAnsi="Calibri"/>
        </w:rPr>
        <w:lastRenderedPageBreak/>
        <w:t>accepting tuition payments directly linked to Specially Designated Nationals (SDNs). Key operational failures identified included:</w:t>
      </w:r>
    </w:p>
    <w:p w14:paraId="0BC34086" w14:textId="77777777" w:rsidR="001D63A3" w:rsidRDefault="00000000">
      <w:pPr>
        <w:pStyle w:val="ListBullet"/>
        <w:spacing w:after="80"/>
      </w:pPr>
      <w:r>
        <w:rPr>
          <w:rFonts w:ascii="Calibri" w:hAnsi="Calibri"/>
          <w:b/>
        </w:rPr>
        <w:t xml:space="preserve">Failure to Conduct Intake Screening: </w:t>
      </w:r>
      <w:r>
        <w:rPr>
          <w:rFonts w:ascii="Calibri" w:hAnsi="Calibri"/>
        </w:rPr>
        <w:t>Omitting routine name checks against federal watchlists for enrolled families, third-party payors, or wire originators during admissions or financial billing.</w:t>
      </w:r>
    </w:p>
    <w:p w14:paraId="5C8F0468" w14:textId="77777777" w:rsidR="001D63A3" w:rsidRDefault="00000000">
      <w:pPr>
        <w:pStyle w:val="ListBullet"/>
        <w:spacing w:after="80"/>
      </w:pPr>
      <w:r>
        <w:rPr>
          <w:rFonts w:ascii="Calibri" w:hAnsi="Calibri"/>
          <w:b/>
        </w:rPr>
        <w:t xml:space="preserve">Ignoring Red Flags: </w:t>
      </w:r>
      <w:r>
        <w:rPr>
          <w:rFonts w:ascii="Calibri" w:hAnsi="Calibri"/>
        </w:rPr>
        <w:t>Processing tuition arriving via third-party wire transfers from foreign offshore accounts or credit cards registered in countries different from the student's residence.</w:t>
      </w:r>
    </w:p>
    <w:p w14:paraId="75A8FEAB" w14:textId="77777777" w:rsidR="001D63A3" w:rsidRDefault="00000000">
      <w:pPr>
        <w:pStyle w:val="ListBullet"/>
        <w:spacing w:after="80"/>
      </w:pPr>
      <w:r>
        <w:rPr>
          <w:rFonts w:ascii="Calibri" w:hAnsi="Calibri"/>
          <w:b/>
        </w:rPr>
        <w:t xml:space="preserve">Lack of Formal Compliance Structure: </w:t>
      </w:r>
      <w:r>
        <w:rPr>
          <w:rFonts w:ascii="Calibri" w:hAnsi="Calibri"/>
        </w:rPr>
        <w:t>Operating without a written compliance policy, designated compliance personnel, staff training, or formal voluntary self-disclosure protocols.</w:t>
      </w:r>
    </w:p>
    <w:p w14:paraId="6F3ECDBF" w14:textId="77777777" w:rsidR="001D63A3" w:rsidRDefault="00000000">
      <w:pPr>
        <w:pStyle w:val="Heading1"/>
      </w:pPr>
      <w:r>
        <w:t>2. Governance &amp; Cross-Divisional Responsibilities</w:t>
      </w:r>
    </w:p>
    <w:p w14:paraId="5767FA51" w14:textId="77777777" w:rsidR="001D63A3" w:rsidRDefault="00000000">
      <w:pPr>
        <w:spacing w:after="160"/>
      </w:pPr>
      <w:r>
        <w:rPr>
          <w:rFonts w:ascii="Calibri" w:hAnsi="Calibri"/>
        </w:rPr>
        <w:t>To ensure thorough compliance without placing an unmanageable burden on any single staff member, OFAC compliance is structured as a cross-divisional responsibility led by the Business Office and shared across operational departments.</w:t>
      </w:r>
    </w:p>
    <w:tbl>
      <w:tblPr>
        <w:tblW w:w="0" w:type="auto"/>
        <w:jc w:val="center"/>
        <w:tblLayout w:type="fixed"/>
        <w:tblLook w:val="04A0" w:firstRow="1" w:lastRow="0" w:firstColumn="1" w:lastColumn="0" w:noHBand="0" w:noVBand="1"/>
      </w:tblPr>
      <w:tblGrid>
        <w:gridCol w:w="2160"/>
        <w:gridCol w:w="2448"/>
        <w:gridCol w:w="3312"/>
        <w:gridCol w:w="1440"/>
      </w:tblGrid>
      <w:tr w:rsidR="001D63A3" w14:paraId="0DAADDF8" w14:textId="77777777">
        <w:trPr>
          <w:jc w:val="center"/>
        </w:trPr>
        <w:tc>
          <w:tcPr>
            <w:tcW w:w="2160" w:type="dxa"/>
            <w:shd w:val="clear" w:color="auto" w:fill="1F4E79"/>
            <w:tcMar>
              <w:top w:w="100" w:type="dxa"/>
              <w:left w:w="120" w:type="dxa"/>
              <w:bottom w:w="100" w:type="dxa"/>
              <w:right w:w="120" w:type="dxa"/>
            </w:tcMar>
          </w:tcPr>
          <w:p w14:paraId="4AFADED9" w14:textId="77777777" w:rsidR="001D63A3" w:rsidRDefault="00000000">
            <w:r>
              <w:rPr>
                <w:rFonts w:ascii="Calibri" w:hAnsi="Calibri"/>
                <w:b/>
                <w:color w:val="FFFFFF"/>
                <w:sz w:val="19"/>
              </w:rPr>
              <w:t>Department</w:t>
            </w:r>
          </w:p>
        </w:tc>
        <w:tc>
          <w:tcPr>
            <w:tcW w:w="2448" w:type="dxa"/>
            <w:shd w:val="clear" w:color="auto" w:fill="1F4E79"/>
            <w:tcMar>
              <w:top w:w="100" w:type="dxa"/>
              <w:left w:w="120" w:type="dxa"/>
              <w:bottom w:w="100" w:type="dxa"/>
              <w:right w:w="120" w:type="dxa"/>
            </w:tcMar>
          </w:tcPr>
          <w:p w14:paraId="15441A7A" w14:textId="77777777" w:rsidR="001D63A3" w:rsidRDefault="00000000">
            <w:r>
              <w:rPr>
                <w:rFonts w:ascii="Calibri" w:hAnsi="Calibri"/>
                <w:b/>
                <w:color w:val="FFFFFF"/>
                <w:sz w:val="19"/>
              </w:rPr>
              <w:t>Operational Touchpoint</w:t>
            </w:r>
          </w:p>
        </w:tc>
        <w:tc>
          <w:tcPr>
            <w:tcW w:w="3312" w:type="dxa"/>
            <w:shd w:val="clear" w:color="auto" w:fill="1F4E79"/>
            <w:tcMar>
              <w:top w:w="100" w:type="dxa"/>
              <w:left w:w="120" w:type="dxa"/>
              <w:bottom w:w="100" w:type="dxa"/>
              <w:right w:w="120" w:type="dxa"/>
            </w:tcMar>
          </w:tcPr>
          <w:p w14:paraId="70B88685" w14:textId="77777777" w:rsidR="001D63A3" w:rsidRDefault="00000000">
            <w:r>
              <w:rPr>
                <w:rFonts w:ascii="Calibri" w:hAnsi="Calibri"/>
                <w:b/>
                <w:color w:val="FFFFFF"/>
                <w:sz w:val="19"/>
              </w:rPr>
              <w:t>Mandatory Compliance Action</w:t>
            </w:r>
          </w:p>
        </w:tc>
        <w:tc>
          <w:tcPr>
            <w:tcW w:w="1440" w:type="dxa"/>
            <w:shd w:val="clear" w:color="auto" w:fill="1F4E79"/>
            <w:tcMar>
              <w:top w:w="100" w:type="dxa"/>
              <w:left w:w="120" w:type="dxa"/>
              <w:bottom w:w="100" w:type="dxa"/>
              <w:right w:w="120" w:type="dxa"/>
            </w:tcMar>
          </w:tcPr>
          <w:p w14:paraId="720D921A" w14:textId="77777777" w:rsidR="001D63A3" w:rsidRDefault="00000000">
            <w:r>
              <w:rPr>
                <w:rFonts w:ascii="Calibri" w:hAnsi="Calibri"/>
                <w:b/>
                <w:color w:val="FFFFFF"/>
                <w:sz w:val="19"/>
              </w:rPr>
              <w:t>Screening Frequency</w:t>
            </w:r>
          </w:p>
        </w:tc>
      </w:tr>
      <w:tr w:rsidR="001D63A3" w14:paraId="3A55B6EA" w14:textId="77777777">
        <w:trPr>
          <w:jc w:val="center"/>
        </w:trPr>
        <w:tc>
          <w:tcPr>
            <w:tcW w:w="2160" w:type="dxa"/>
            <w:shd w:val="clear" w:color="auto" w:fill="F9FAFB"/>
            <w:tcMar>
              <w:top w:w="80" w:type="dxa"/>
              <w:left w:w="100" w:type="dxa"/>
              <w:bottom w:w="80" w:type="dxa"/>
              <w:right w:w="100" w:type="dxa"/>
            </w:tcMar>
          </w:tcPr>
          <w:p w14:paraId="6F122392" w14:textId="77777777" w:rsidR="001D63A3" w:rsidRDefault="00000000">
            <w:r>
              <w:rPr>
                <w:rFonts w:ascii="Calibri" w:hAnsi="Calibri"/>
                <w:color w:val="262626"/>
                <w:sz w:val="18"/>
              </w:rPr>
              <w:t>Admissions &amp; Financial Aid</w:t>
            </w:r>
          </w:p>
        </w:tc>
        <w:tc>
          <w:tcPr>
            <w:tcW w:w="2448" w:type="dxa"/>
            <w:shd w:val="clear" w:color="auto" w:fill="F9FAFB"/>
            <w:tcMar>
              <w:top w:w="80" w:type="dxa"/>
              <w:left w:w="100" w:type="dxa"/>
              <w:bottom w:w="80" w:type="dxa"/>
              <w:right w:w="100" w:type="dxa"/>
            </w:tcMar>
          </w:tcPr>
          <w:p w14:paraId="25EB85E3" w14:textId="77777777" w:rsidR="001D63A3" w:rsidRDefault="00000000">
            <w:r>
              <w:rPr>
                <w:rFonts w:ascii="Calibri" w:hAnsi="Calibri"/>
                <w:color w:val="262626"/>
                <w:sz w:val="18"/>
              </w:rPr>
              <w:t>International student applicants, parents, and third-party tuition payors</w:t>
            </w:r>
          </w:p>
        </w:tc>
        <w:tc>
          <w:tcPr>
            <w:tcW w:w="3312" w:type="dxa"/>
            <w:shd w:val="clear" w:color="auto" w:fill="F9FAFB"/>
            <w:tcMar>
              <w:top w:w="80" w:type="dxa"/>
              <w:left w:w="100" w:type="dxa"/>
              <w:bottom w:w="80" w:type="dxa"/>
              <w:right w:w="100" w:type="dxa"/>
            </w:tcMar>
          </w:tcPr>
          <w:p w14:paraId="577C1407" w14:textId="77777777" w:rsidR="001D63A3" w:rsidRDefault="00000000">
            <w:r>
              <w:rPr>
                <w:rFonts w:ascii="Calibri" w:hAnsi="Calibri"/>
                <w:color w:val="262626"/>
                <w:sz w:val="18"/>
              </w:rPr>
              <w:t>Collect full legal names, citizenship, and parent/payor details; screen prior to enrollment contract execution.</w:t>
            </w:r>
          </w:p>
        </w:tc>
        <w:tc>
          <w:tcPr>
            <w:tcW w:w="1440" w:type="dxa"/>
            <w:shd w:val="clear" w:color="auto" w:fill="F9FAFB"/>
            <w:tcMar>
              <w:top w:w="80" w:type="dxa"/>
              <w:left w:w="100" w:type="dxa"/>
              <w:bottom w:w="80" w:type="dxa"/>
              <w:right w:w="100" w:type="dxa"/>
            </w:tcMar>
          </w:tcPr>
          <w:p w14:paraId="4E194415" w14:textId="77777777" w:rsidR="001D63A3" w:rsidRDefault="00000000">
            <w:r>
              <w:rPr>
                <w:rFonts w:ascii="Calibri" w:hAnsi="Calibri"/>
                <w:color w:val="262626"/>
                <w:sz w:val="18"/>
              </w:rPr>
              <w:t>Upon Application &amp; Re-enrollment</w:t>
            </w:r>
          </w:p>
        </w:tc>
      </w:tr>
      <w:tr w:rsidR="001D63A3" w14:paraId="44750089" w14:textId="77777777">
        <w:trPr>
          <w:jc w:val="center"/>
        </w:trPr>
        <w:tc>
          <w:tcPr>
            <w:tcW w:w="2160" w:type="dxa"/>
            <w:shd w:val="clear" w:color="auto" w:fill="FFFFFF"/>
            <w:tcMar>
              <w:top w:w="80" w:type="dxa"/>
              <w:left w:w="100" w:type="dxa"/>
              <w:bottom w:w="80" w:type="dxa"/>
              <w:right w:w="100" w:type="dxa"/>
            </w:tcMar>
          </w:tcPr>
          <w:p w14:paraId="05570E52" w14:textId="77777777" w:rsidR="001D63A3" w:rsidRDefault="00000000">
            <w:r>
              <w:rPr>
                <w:rFonts w:ascii="Calibri" w:hAnsi="Calibri"/>
                <w:color w:val="262626"/>
                <w:sz w:val="18"/>
              </w:rPr>
              <w:t>Advancement &amp; Development</w:t>
            </w:r>
          </w:p>
        </w:tc>
        <w:tc>
          <w:tcPr>
            <w:tcW w:w="2448" w:type="dxa"/>
            <w:shd w:val="clear" w:color="auto" w:fill="FFFFFF"/>
            <w:tcMar>
              <w:top w:w="80" w:type="dxa"/>
              <w:left w:w="100" w:type="dxa"/>
              <w:bottom w:w="80" w:type="dxa"/>
              <w:right w:w="100" w:type="dxa"/>
            </w:tcMar>
          </w:tcPr>
          <w:p w14:paraId="77CD150F" w14:textId="77777777" w:rsidR="001D63A3" w:rsidRDefault="00000000">
            <w:r>
              <w:rPr>
                <w:rFonts w:ascii="Calibri" w:hAnsi="Calibri"/>
                <w:color w:val="262626"/>
                <w:sz w:val="18"/>
              </w:rPr>
              <w:t>International donors, foundation gifts, and foreign wire contributors</w:t>
            </w:r>
          </w:p>
        </w:tc>
        <w:tc>
          <w:tcPr>
            <w:tcW w:w="3312" w:type="dxa"/>
            <w:shd w:val="clear" w:color="auto" w:fill="FFFFFF"/>
            <w:tcMar>
              <w:top w:w="80" w:type="dxa"/>
              <w:left w:w="100" w:type="dxa"/>
              <w:bottom w:w="80" w:type="dxa"/>
              <w:right w:w="100" w:type="dxa"/>
            </w:tcMar>
          </w:tcPr>
          <w:p w14:paraId="11ADE646" w14:textId="77777777" w:rsidR="001D63A3" w:rsidRDefault="00000000">
            <w:r>
              <w:rPr>
                <w:rFonts w:ascii="Calibri" w:hAnsi="Calibri"/>
                <w:color w:val="262626"/>
                <w:sz w:val="18"/>
              </w:rPr>
              <w:t>Screen donor legal names and funding entity originators prior to gift acceptance or receipting.</w:t>
            </w:r>
          </w:p>
        </w:tc>
        <w:tc>
          <w:tcPr>
            <w:tcW w:w="1440" w:type="dxa"/>
            <w:shd w:val="clear" w:color="auto" w:fill="FFFFFF"/>
            <w:tcMar>
              <w:top w:w="80" w:type="dxa"/>
              <w:left w:w="100" w:type="dxa"/>
              <w:bottom w:w="80" w:type="dxa"/>
              <w:right w:w="100" w:type="dxa"/>
            </w:tcMar>
          </w:tcPr>
          <w:p w14:paraId="5767CECA" w14:textId="77777777" w:rsidR="001D63A3" w:rsidRDefault="00000000">
            <w:r>
              <w:rPr>
                <w:rFonts w:ascii="Calibri" w:hAnsi="Calibri"/>
                <w:color w:val="262626"/>
                <w:sz w:val="18"/>
              </w:rPr>
              <w:t>Prior to Gift Acceptance</w:t>
            </w:r>
          </w:p>
        </w:tc>
      </w:tr>
      <w:tr w:rsidR="001D63A3" w14:paraId="7BC84DA5" w14:textId="77777777">
        <w:trPr>
          <w:jc w:val="center"/>
        </w:trPr>
        <w:tc>
          <w:tcPr>
            <w:tcW w:w="2160" w:type="dxa"/>
            <w:shd w:val="clear" w:color="auto" w:fill="F9FAFB"/>
            <w:tcMar>
              <w:top w:w="80" w:type="dxa"/>
              <w:left w:w="100" w:type="dxa"/>
              <w:bottom w:w="80" w:type="dxa"/>
              <w:right w:w="100" w:type="dxa"/>
            </w:tcMar>
          </w:tcPr>
          <w:p w14:paraId="57A269D9" w14:textId="77777777" w:rsidR="001D63A3" w:rsidRDefault="00000000">
            <w:r>
              <w:rPr>
                <w:rFonts w:ascii="Calibri" w:hAnsi="Calibri"/>
                <w:color w:val="262626"/>
                <w:sz w:val="18"/>
              </w:rPr>
              <w:t>Business Office &amp; Procurement</w:t>
            </w:r>
          </w:p>
        </w:tc>
        <w:tc>
          <w:tcPr>
            <w:tcW w:w="2448" w:type="dxa"/>
            <w:shd w:val="clear" w:color="auto" w:fill="F9FAFB"/>
            <w:tcMar>
              <w:top w:w="80" w:type="dxa"/>
              <w:left w:w="100" w:type="dxa"/>
              <w:bottom w:w="80" w:type="dxa"/>
              <w:right w:w="100" w:type="dxa"/>
            </w:tcMar>
          </w:tcPr>
          <w:p w14:paraId="0CC3A11F" w14:textId="77777777" w:rsidR="001D63A3" w:rsidRDefault="00000000">
            <w:r>
              <w:rPr>
                <w:rFonts w:ascii="Calibri" w:hAnsi="Calibri"/>
                <w:color w:val="262626"/>
                <w:sz w:val="18"/>
              </w:rPr>
              <w:t>Accounts payable vendors, international contractors, and wire payees</w:t>
            </w:r>
          </w:p>
        </w:tc>
        <w:tc>
          <w:tcPr>
            <w:tcW w:w="3312" w:type="dxa"/>
            <w:shd w:val="clear" w:color="auto" w:fill="F9FAFB"/>
            <w:tcMar>
              <w:top w:w="80" w:type="dxa"/>
              <w:left w:w="100" w:type="dxa"/>
              <w:bottom w:w="80" w:type="dxa"/>
              <w:right w:w="100" w:type="dxa"/>
            </w:tcMar>
          </w:tcPr>
          <w:p w14:paraId="4808DC55" w14:textId="77777777" w:rsidR="001D63A3" w:rsidRDefault="00000000">
            <w:r>
              <w:rPr>
                <w:rFonts w:ascii="Calibri" w:hAnsi="Calibri"/>
                <w:color w:val="262626"/>
                <w:sz w:val="18"/>
              </w:rPr>
              <w:t>Perform SDN screening on all foreign vendors and wire transfer payees; manage flagged transaction holds.</w:t>
            </w:r>
          </w:p>
        </w:tc>
        <w:tc>
          <w:tcPr>
            <w:tcW w:w="1440" w:type="dxa"/>
            <w:shd w:val="clear" w:color="auto" w:fill="F9FAFB"/>
            <w:tcMar>
              <w:top w:w="80" w:type="dxa"/>
              <w:left w:w="100" w:type="dxa"/>
              <w:bottom w:w="80" w:type="dxa"/>
              <w:right w:w="100" w:type="dxa"/>
            </w:tcMar>
          </w:tcPr>
          <w:p w14:paraId="16F979F4" w14:textId="77777777" w:rsidR="001D63A3" w:rsidRDefault="00000000">
            <w:r>
              <w:rPr>
                <w:rFonts w:ascii="Calibri" w:hAnsi="Calibri"/>
                <w:color w:val="262626"/>
                <w:sz w:val="18"/>
              </w:rPr>
              <w:t>Vendor Setup &amp; Payment Batch</w:t>
            </w:r>
          </w:p>
        </w:tc>
      </w:tr>
      <w:tr w:rsidR="001D63A3" w14:paraId="6D827A24" w14:textId="77777777">
        <w:trPr>
          <w:jc w:val="center"/>
        </w:trPr>
        <w:tc>
          <w:tcPr>
            <w:tcW w:w="2160" w:type="dxa"/>
            <w:shd w:val="clear" w:color="auto" w:fill="FFFFFF"/>
            <w:tcMar>
              <w:top w:w="80" w:type="dxa"/>
              <w:left w:w="100" w:type="dxa"/>
              <w:bottom w:w="80" w:type="dxa"/>
              <w:right w:w="100" w:type="dxa"/>
            </w:tcMar>
          </w:tcPr>
          <w:p w14:paraId="4E57A222" w14:textId="77777777" w:rsidR="001D63A3" w:rsidRDefault="00000000">
            <w:r>
              <w:rPr>
                <w:rFonts w:ascii="Calibri" w:hAnsi="Calibri"/>
                <w:color w:val="262626"/>
                <w:sz w:val="18"/>
              </w:rPr>
              <w:t>International Programs &amp; Travel</w:t>
            </w:r>
          </w:p>
        </w:tc>
        <w:tc>
          <w:tcPr>
            <w:tcW w:w="2448" w:type="dxa"/>
            <w:shd w:val="clear" w:color="auto" w:fill="FFFFFF"/>
            <w:tcMar>
              <w:top w:w="80" w:type="dxa"/>
              <w:left w:w="100" w:type="dxa"/>
              <w:bottom w:w="80" w:type="dxa"/>
              <w:right w:w="100" w:type="dxa"/>
            </w:tcMar>
          </w:tcPr>
          <w:p w14:paraId="12F3E179" w14:textId="77777777" w:rsidR="001D63A3" w:rsidRDefault="00000000">
            <w:r>
              <w:rPr>
                <w:rFonts w:ascii="Calibri" w:hAnsi="Calibri"/>
                <w:color w:val="262626"/>
                <w:sz w:val="18"/>
              </w:rPr>
              <w:t>Foreign study abroad partner schools, travel agencies, and visiting faculty</w:t>
            </w:r>
          </w:p>
        </w:tc>
        <w:tc>
          <w:tcPr>
            <w:tcW w:w="3312" w:type="dxa"/>
            <w:shd w:val="clear" w:color="auto" w:fill="FFFFFF"/>
            <w:tcMar>
              <w:top w:w="80" w:type="dxa"/>
              <w:left w:w="100" w:type="dxa"/>
              <w:bottom w:w="80" w:type="dxa"/>
              <w:right w:w="100" w:type="dxa"/>
            </w:tcMar>
          </w:tcPr>
          <w:p w14:paraId="311DA0BF" w14:textId="77777777" w:rsidR="001D63A3" w:rsidRDefault="00000000">
            <w:r>
              <w:rPr>
                <w:rFonts w:ascii="Calibri" w:hAnsi="Calibri"/>
                <w:color w:val="262626"/>
                <w:sz w:val="18"/>
              </w:rPr>
              <w:t>Vet international host institutions, foreign trip vendors, exchange student host families, and visiting instructors.</w:t>
            </w:r>
          </w:p>
        </w:tc>
        <w:tc>
          <w:tcPr>
            <w:tcW w:w="1440" w:type="dxa"/>
            <w:shd w:val="clear" w:color="auto" w:fill="FFFFFF"/>
            <w:tcMar>
              <w:top w:w="80" w:type="dxa"/>
              <w:left w:w="100" w:type="dxa"/>
              <w:bottom w:w="80" w:type="dxa"/>
              <w:right w:w="100" w:type="dxa"/>
            </w:tcMar>
          </w:tcPr>
          <w:p w14:paraId="58AC854B" w14:textId="77777777" w:rsidR="001D63A3" w:rsidRDefault="00000000">
            <w:r>
              <w:rPr>
                <w:rFonts w:ascii="Calibri" w:hAnsi="Calibri"/>
                <w:color w:val="262626"/>
                <w:sz w:val="18"/>
              </w:rPr>
              <w:t>Program Setup &amp; Annually</w:t>
            </w:r>
          </w:p>
        </w:tc>
      </w:tr>
    </w:tbl>
    <w:p w14:paraId="4194A67F" w14:textId="77777777" w:rsidR="001D63A3" w:rsidRDefault="001D63A3">
      <w:pPr>
        <w:spacing w:after="240"/>
      </w:pPr>
    </w:p>
    <w:p w14:paraId="7EC433DE" w14:textId="77777777" w:rsidR="001D63A3" w:rsidRDefault="00000000">
      <w:pPr>
        <w:pStyle w:val="Heading1"/>
      </w:pPr>
      <w:r>
        <w:t>3. Risk Assessment &amp; Screening Procedures</w:t>
      </w:r>
    </w:p>
    <w:p w14:paraId="4806D4C4" w14:textId="77777777" w:rsidR="001D63A3" w:rsidRDefault="00000000">
      <w:pPr>
        <w:spacing w:after="160"/>
      </w:pPr>
      <w:r>
        <w:rPr>
          <w:rFonts w:ascii="Calibri" w:hAnsi="Calibri"/>
        </w:rPr>
        <w:t xml:space="preserve">OFAC explicitly recommends a </w:t>
      </w:r>
      <w:r>
        <w:rPr>
          <w:rFonts w:ascii="Calibri" w:hAnsi="Calibri"/>
          <w:b/>
        </w:rPr>
        <w:t>risk-based compliance program</w:t>
      </w:r>
      <w:r>
        <w:rPr>
          <w:rFonts w:ascii="Calibri" w:hAnsi="Calibri"/>
        </w:rPr>
        <w:t xml:space="preserve"> matched to the institution's specific profile. Small day schools with limited foreign touchpoints maintain baseline screening, while multi-campus or boarding schools with significant international student bodies utilize continuous automated systems.</w:t>
      </w:r>
    </w:p>
    <w:p w14:paraId="491D4CA1" w14:textId="77777777" w:rsidR="001D63A3" w:rsidRDefault="00000000">
      <w:pPr>
        <w:pStyle w:val="Heading2"/>
      </w:pPr>
      <w:r>
        <w:lastRenderedPageBreak/>
        <w:t>Screening Tools, Methodology &amp; The 50% Rule</w:t>
      </w:r>
    </w:p>
    <w:p w14:paraId="041185C6" w14:textId="77777777" w:rsidR="001D63A3" w:rsidRDefault="00000000">
      <w:pPr>
        <w:spacing w:after="120"/>
      </w:pPr>
      <w:r>
        <w:rPr>
          <w:rFonts w:ascii="Calibri" w:hAnsi="Calibri"/>
        </w:rPr>
        <w:t>Mandatory screening must cover two primary federal watchlists:</w:t>
      </w:r>
    </w:p>
    <w:p w14:paraId="2F45A2C5" w14:textId="77777777" w:rsidR="001D63A3" w:rsidRDefault="00000000">
      <w:pPr>
        <w:pStyle w:val="ListBullet"/>
      </w:pPr>
      <w:r>
        <w:rPr>
          <w:b/>
        </w:rPr>
        <w:t xml:space="preserve">Specially Designated Nationals and Blocked Persons (SDN) List: </w:t>
      </w:r>
      <w:r>
        <w:t>Individuals and entities whose assets are blocked and with whom U.S. persons are prohibited from dealing.</w:t>
      </w:r>
    </w:p>
    <w:p w14:paraId="1D822EFE" w14:textId="77777777" w:rsidR="001D63A3" w:rsidRDefault="00000000">
      <w:pPr>
        <w:pStyle w:val="ListBullet"/>
      </w:pPr>
      <w:r>
        <w:rPr>
          <w:b/>
        </w:rPr>
        <w:t xml:space="preserve">Consolidated Screening List (CSL): </w:t>
      </w:r>
      <w:r>
        <w:t>An integrated federal search tool combining multiple export control and sanctions lists from Treasury, Commerce, and State.</w:t>
      </w:r>
    </w:p>
    <w:p w14:paraId="26518E6E" w14:textId="77777777" w:rsidR="001D63A3" w:rsidRDefault="00000000">
      <w:pPr>
        <w:spacing w:after="160"/>
      </w:pPr>
      <w:r>
        <w:rPr>
          <w:rFonts w:ascii="Calibri" w:hAnsi="Calibri"/>
        </w:rPr>
        <w:t xml:space="preserve">When utilizing government online tools, staff should utilize </w:t>
      </w:r>
      <w:r>
        <w:rPr>
          <w:b/>
        </w:rPr>
        <w:t>fuzzy logic matching (set to an 80% threshold)</w:t>
      </w:r>
      <w:r>
        <w:rPr>
          <w:rFonts w:ascii="Calibri" w:hAnsi="Calibri"/>
        </w:rPr>
        <w:t xml:space="preserve"> to automatically account for name transliterations, misspellings, or cultural variations in name ordering.</w:t>
      </w:r>
    </w:p>
    <w:tbl>
      <w:tblPr>
        <w:tblW w:w="0" w:type="auto"/>
        <w:jc w:val="center"/>
        <w:tblLook w:val="04A0" w:firstRow="1" w:lastRow="0" w:firstColumn="1" w:lastColumn="0" w:noHBand="0" w:noVBand="1"/>
      </w:tblPr>
      <w:tblGrid>
        <w:gridCol w:w="9330"/>
      </w:tblGrid>
      <w:tr w:rsidR="001D63A3" w14:paraId="24691451" w14:textId="77777777">
        <w:trPr>
          <w:jc w:val="center"/>
        </w:trPr>
        <w:tc>
          <w:tcPr>
            <w:tcW w:w="9360" w:type="dxa"/>
            <w:tcBorders>
              <w:left w:val="single" w:sz="24" w:space="0" w:color="B25900"/>
            </w:tcBorders>
            <w:shd w:val="clear" w:color="auto" w:fill="FFF2CC"/>
            <w:tcMar>
              <w:top w:w="140" w:type="dxa"/>
              <w:left w:w="200" w:type="dxa"/>
              <w:bottom w:w="140" w:type="dxa"/>
              <w:right w:w="200" w:type="dxa"/>
            </w:tcMar>
          </w:tcPr>
          <w:p w14:paraId="21D1E8BB" w14:textId="77777777" w:rsidR="001D63A3" w:rsidRDefault="00000000">
            <w:pPr>
              <w:spacing w:before="40" w:after="80"/>
            </w:pPr>
            <w:r>
              <w:rPr>
                <w:rFonts w:ascii="Calibri" w:hAnsi="Calibri"/>
                <w:b/>
                <w:color w:val="1F4E79"/>
              </w:rPr>
              <w:t>■ MANDATORY RULE: OFAC 50% OWNERSHIP RULE</w:t>
            </w:r>
            <w:r>
              <w:rPr>
                <w:rFonts w:ascii="Calibri" w:hAnsi="Calibri"/>
                <w:b/>
                <w:color w:val="1F4E79"/>
              </w:rPr>
              <w:br/>
            </w:r>
            <w:r>
              <w:rPr>
                <w:rFonts w:ascii="Calibri" w:hAnsi="Calibri"/>
                <w:color w:val="262626"/>
                <w:sz w:val="21"/>
              </w:rPr>
              <w:t>Under OFAC's 50% Rule, any entity or company owned 50% or more (in the aggregate) by one or more sanctioned individuals is automatically treated as a sanctioned entity—even if the company is NOT explicitly named on the SDN List.</w:t>
            </w:r>
          </w:p>
          <w:p w14:paraId="0CDA0E73" w14:textId="77777777" w:rsidR="001D63A3" w:rsidRDefault="00000000">
            <w:pPr>
              <w:spacing w:before="40" w:after="80"/>
            </w:pPr>
            <w:r>
              <w:rPr>
                <w:rFonts w:ascii="Calibri" w:hAnsi="Calibri"/>
                <w:color w:val="262626"/>
                <w:sz w:val="21"/>
              </w:rPr>
              <w:t>Due diligence on corporate vendors or international foundation donors must confirm beneficial ownership if ties to sanctioned parties are suspected.</w:t>
            </w:r>
          </w:p>
        </w:tc>
      </w:tr>
    </w:tbl>
    <w:p w14:paraId="6E3D264A" w14:textId="77777777" w:rsidR="001D63A3" w:rsidRDefault="001D63A3">
      <w:pPr>
        <w:spacing w:after="120"/>
      </w:pPr>
    </w:p>
    <w:p w14:paraId="3AF2CDEF" w14:textId="77777777" w:rsidR="001D63A3" w:rsidRDefault="00000000">
      <w:pPr>
        <w:pStyle w:val="Heading1"/>
      </w:pPr>
      <w:r>
        <w:t>4. Red Flag Identification &amp; Operational Protocols</w:t>
      </w:r>
    </w:p>
    <w:p w14:paraId="0FD316C7" w14:textId="77777777" w:rsidR="001D63A3" w:rsidRDefault="00000000">
      <w:pPr>
        <w:spacing w:after="160"/>
      </w:pPr>
      <w:r>
        <w:rPr>
          <w:rFonts w:ascii="Calibri" w:hAnsi="Calibri"/>
        </w:rPr>
        <w:t>School staff across Admissions, Advancement, and Finance must be trained to recognize common operational red flags. A flagged transaction requires immediate hold and escalation to the Business Office Compliance Lead:</w:t>
      </w:r>
    </w:p>
    <w:p w14:paraId="301D98AD" w14:textId="77777777" w:rsidR="001D63A3" w:rsidRDefault="00000000">
      <w:pPr>
        <w:pStyle w:val="ListBullet"/>
        <w:spacing w:after="80"/>
      </w:pPr>
      <w:r>
        <w:rPr>
          <w:rFonts w:ascii="Calibri" w:hAnsi="Calibri"/>
          <w:b/>
          <w:color w:val="C00000"/>
        </w:rPr>
        <w:t xml:space="preserve">High-Risk Jurisdiction Origin: </w:t>
      </w:r>
      <w:r>
        <w:rPr>
          <w:rFonts w:ascii="Calibri" w:hAnsi="Calibri"/>
        </w:rPr>
        <w:t>Payments, wire transfers, or communications originating from comprehensively embargoed regions (e.g., Cuba, Iran, North Korea, Syria, Crimea/Donetsk/Luhansk regions of Ukraine) or targeted high-risk countries (e.g., Russia, Belarus, Venezuela).</w:t>
      </w:r>
    </w:p>
    <w:p w14:paraId="7A76EA27" w14:textId="77777777" w:rsidR="001D63A3" w:rsidRDefault="00000000">
      <w:pPr>
        <w:pStyle w:val="ListBullet"/>
        <w:spacing w:after="80"/>
      </w:pPr>
      <w:r>
        <w:rPr>
          <w:rFonts w:ascii="Calibri" w:hAnsi="Calibri"/>
          <w:b/>
          <w:color w:val="C00000"/>
        </w:rPr>
        <w:t xml:space="preserve">Third-Party Payors: </w:t>
      </w:r>
      <w:r>
        <w:rPr>
          <w:rFonts w:ascii="Calibri" w:hAnsi="Calibri"/>
        </w:rPr>
        <w:t>Tuition or fees paid by an individual or corporate entity with no documented family or legal relationship to the enrolled student.</w:t>
      </w:r>
    </w:p>
    <w:p w14:paraId="3F01DB0C" w14:textId="77777777" w:rsidR="001D63A3" w:rsidRDefault="00000000">
      <w:pPr>
        <w:pStyle w:val="ListBullet"/>
        <w:spacing w:after="80"/>
      </w:pPr>
      <w:r>
        <w:rPr>
          <w:rFonts w:ascii="Calibri" w:hAnsi="Calibri"/>
          <w:b/>
          <w:color w:val="C00000"/>
        </w:rPr>
        <w:t xml:space="preserve">Country Mismatches: </w:t>
      </w:r>
      <w:r>
        <w:rPr>
          <w:rFonts w:ascii="Calibri" w:hAnsi="Calibri"/>
        </w:rPr>
        <w:t>Wire transfers originating from a financial institution in a country different from the enrolled family's residence.</w:t>
      </w:r>
    </w:p>
    <w:p w14:paraId="453D1F05" w14:textId="77777777" w:rsidR="001D63A3" w:rsidRDefault="00000000">
      <w:pPr>
        <w:pStyle w:val="ListBullet"/>
        <w:spacing w:after="80"/>
      </w:pPr>
      <w:r>
        <w:rPr>
          <w:rFonts w:ascii="Calibri" w:hAnsi="Calibri"/>
          <w:b/>
          <w:color w:val="C00000"/>
        </w:rPr>
        <w:t xml:space="preserve">Cash &amp; Anonymous Gifts: </w:t>
      </w:r>
      <w:r>
        <w:rPr>
          <w:rFonts w:ascii="Calibri" w:hAnsi="Calibri"/>
        </w:rPr>
        <w:t>Attempts to pay tuition in cash, unusual currency, or large anonymous foreign donations.</w:t>
      </w:r>
    </w:p>
    <w:p w14:paraId="54DBDD7B" w14:textId="77777777" w:rsidR="001D63A3" w:rsidRDefault="00000000">
      <w:pPr>
        <w:pStyle w:val="ListBullet"/>
        <w:spacing w:after="80"/>
      </w:pPr>
      <w:r>
        <w:rPr>
          <w:rFonts w:ascii="Calibri" w:hAnsi="Calibri"/>
          <w:b/>
          <w:color w:val="C00000"/>
        </w:rPr>
        <w:t xml:space="preserve">Reluctance to Disclose Information: </w:t>
      </w:r>
      <w:r>
        <w:rPr>
          <w:rFonts w:ascii="Calibri" w:hAnsi="Calibri"/>
        </w:rPr>
        <w:t>Parents or payors hesitating or refusing to provide complete legal names, passport details, address, or citizenship data.</w:t>
      </w:r>
    </w:p>
    <w:p w14:paraId="11CC8949" w14:textId="77777777" w:rsidR="001D63A3" w:rsidRDefault="00000000">
      <w:pPr>
        <w:pStyle w:val="ListBullet"/>
        <w:spacing w:after="80"/>
      </w:pPr>
      <w:r>
        <w:rPr>
          <w:rFonts w:ascii="Calibri" w:hAnsi="Calibri"/>
          <w:b/>
          <w:color w:val="C00000"/>
        </w:rPr>
        <w:t xml:space="preserve">Payment Processor Holds: </w:t>
      </w:r>
      <w:r>
        <w:rPr>
          <w:rFonts w:ascii="Calibri" w:hAnsi="Calibri"/>
        </w:rPr>
        <w:t>Notices from merchant processors (e.g., Stripe, FACTS, Flywire) or intermediary banks indicating a transaction hold or compliance inquiry.</w:t>
      </w:r>
    </w:p>
    <w:p w14:paraId="6EBB6193" w14:textId="77777777" w:rsidR="001D63A3" w:rsidRDefault="00000000">
      <w:pPr>
        <w:pStyle w:val="Heading1"/>
      </w:pPr>
      <w:r>
        <w:lastRenderedPageBreak/>
        <w:t>5. Incident Management &amp; Legal Prohibitions</w:t>
      </w:r>
    </w:p>
    <w:tbl>
      <w:tblPr>
        <w:tblW w:w="0" w:type="auto"/>
        <w:jc w:val="center"/>
        <w:tblLook w:val="04A0" w:firstRow="1" w:lastRow="0" w:firstColumn="1" w:lastColumn="0" w:noHBand="0" w:noVBand="1"/>
      </w:tblPr>
      <w:tblGrid>
        <w:gridCol w:w="9330"/>
      </w:tblGrid>
      <w:tr w:rsidR="001D63A3" w14:paraId="218A5C61" w14:textId="77777777">
        <w:trPr>
          <w:jc w:val="center"/>
        </w:trPr>
        <w:tc>
          <w:tcPr>
            <w:tcW w:w="9360" w:type="dxa"/>
            <w:tcBorders>
              <w:left w:val="single" w:sz="24" w:space="0" w:color="C00000"/>
            </w:tcBorders>
            <w:shd w:val="clear" w:color="auto" w:fill="FCE4D6"/>
            <w:tcMar>
              <w:top w:w="140" w:type="dxa"/>
              <w:left w:w="200" w:type="dxa"/>
              <w:bottom w:w="140" w:type="dxa"/>
              <w:right w:w="200" w:type="dxa"/>
            </w:tcMar>
          </w:tcPr>
          <w:p w14:paraId="259B3D1D" w14:textId="77777777" w:rsidR="001D63A3" w:rsidRDefault="00000000">
            <w:pPr>
              <w:spacing w:before="40" w:after="80"/>
            </w:pPr>
            <w:r>
              <w:rPr>
                <w:rFonts w:ascii="Calibri" w:hAnsi="Calibri"/>
                <w:b/>
                <w:color w:val="1F4E79"/>
              </w:rPr>
              <w:t>■ ABSOLUTE LEGAL PROHIBITION: NEVER REFUND OR RETURN SANCTIONED FUNDS</w:t>
            </w:r>
            <w:r>
              <w:rPr>
                <w:rFonts w:ascii="Calibri" w:hAnsi="Calibri"/>
                <w:b/>
                <w:color w:val="1F4E79"/>
              </w:rPr>
              <w:br/>
            </w:r>
            <w:r>
              <w:rPr>
                <w:rFonts w:ascii="Calibri" w:hAnsi="Calibri"/>
                <w:color w:val="262626"/>
                <w:sz w:val="21"/>
              </w:rPr>
              <w:t>IF AN INADVERTENT TUITION PAYMENT OR DONATION IS RECEIVED FROM AN SDN OR SANCTIONED PARTY, THE SCHOOL MUST NEVER ATTEMPT TO RETURN, REFUND, OR RE-ROUTE THE FUNDS TO THE PAYOR.</w:t>
            </w:r>
          </w:p>
          <w:p w14:paraId="4F844CFD" w14:textId="77777777" w:rsidR="001D63A3" w:rsidRDefault="00000000">
            <w:pPr>
              <w:spacing w:before="40" w:after="80"/>
            </w:pPr>
            <w:r>
              <w:rPr>
                <w:rFonts w:ascii="Calibri" w:hAnsi="Calibri"/>
                <w:color w:val="262626"/>
                <w:sz w:val="21"/>
              </w:rPr>
              <w:t>Under federal sanctions law, returning or refunding money to a sanctioned entity constitutes an illegal second transaction (prohibited facilitation and unlawful transfer of blocked property). Funds must be frozen immediately and held in a segregated blocked account.</w:t>
            </w:r>
          </w:p>
        </w:tc>
      </w:tr>
    </w:tbl>
    <w:p w14:paraId="5406C03E" w14:textId="77777777" w:rsidR="001D63A3" w:rsidRDefault="001D63A3">
      <w:pPr>
        <w:spacing w:after="120"/>
      </w:pPr>
    </w:p>
    <w:p w14:paraId="2209DD8C" w14:textId="77777777" w:rsidR="001D63A3" w:rsidRDefault="00000000">
      <w:pPr>
        <w:spacing w:after="160"/>
      </w:pPr>
      <w:r>
        <w:rPr>
          <w:rFonts w:ascii="Calibri" w:hAnsi="Calibri"/>
        </w:rPr>
        <w:t>When a confirmed SDN match or blocked property scenario occurs, the Business Office Compliance Lead must execute the following protocol:</w:t>
      </w:r>
    </w:p>
    <w:p w14:paraId="6F850139" w14:textId="77777777" w:rsidR="001D63A3" w:rsidRDefault="00000000">
      <w:pPr>
        <w:spacing w:after="80"/>
        <w:ind w:left="360"/>
      </w:pPr>
      <w:r>
        <w:rPr>
          <w:rFonts w:ascii="Calibri" w:hAnsi="Calibri"/>
          <w:b/>
        </w:rPr>
        <w:t xml:space="preserve">Step 1: Immediate Transaction Freeze — </w:t>
      </w:r>
      <w:r>
        <w:rPr>
          <w:rFonts w:ascii="Calibri" w:hAnsi="Calibri"/>
        </w:rPr>
        <w:t>Halt all billing, enrollment contracts, vendor payments, or receipting associated with the entity.</w:t>
      </w:r>
    </w:p>
    <w:p w14:paraId="5C8CDED7" w14:textId="77777777" w:rsidR="001D63A3" w:rsidRDefault="00000000">
      <w:pPr>
        <w:spacing w:after="80"/>
        <w:ind w:left="360"/>
      </w:pPr>
      <w:r>
        <w:rPr>
          <w:rFonts w:ascii="Calibri" w:hAnsi="Calibri"/>
          <w:b/>
        </w:rPr>
        <w:t xml:space="preserve">Step 2: Segregate Blocked Funds — </w:t>
      </w:r>
      <w:r>
        <w:rPr>
          <w:rFonts w:ascii="Calibri" w:hAnsi="Calibri"/>
        </w:rPr>
        <w:t>Place incoming funds into an interest-bearing, segregated blocked bank account maintained by the school.</w:t>
      </w:r>
    </w:p>
    <w:p w14:paraId="234DD71E" w14:textId="77777777" w:rsidR="001D63A3" w:rsidRDefault="00000000">
      <w:pPr>
        <w:spacing w:after="80"/>
        <w:ind w:left="360"/>
      </w:pPr>
      <w:r>
        <w:rPr>
          <w:rFonts w:ascii="Calibri" w:hAnsi="Calibri"/>
          <w:b/>
        </w:rPr>
        <w:t xml:space="preserve">Step 3: File Blocked Property Report — </w:t>
      </w:r>
      <w:r>
        <w:rPr>
          <w:rFonts w:ascii="Calibri" w:hAnsi="Calibri"/>
        </w:rPr>
        <w:t>Submit a formal Blocked Property Report to OFAC within 10 business days pursuant to 31 C.F.R. § 501.603.</w:t>
      </w:r>
    </w:p>
    <w:p w14:paraId="7C425AC8" w14:textId="77777777" w:rsidR="001D63A3" w:rsidRDefault="00000000">
      <w:pPr>
        <w:spacing w:after="80"/>
        <w:ind w:left="360"/>
      </w:pPr>
      <w:r>
        <w:rPr>
          <w:rFonts w:ascii="Calibri" w:hAnsi="Calibri"/>
          <w:b/>
        </w:rPr>
        <w:t xml:space="preserve">Step 4: File Voluntary Self-Disclosure (VSD) — </w:t>
      </w:r>
      <w:r>
        <w:rPr>
          <w:rFonts w:ascii="Calibri" w:hAnsi="Calibri"/>
        </w:rPr>
        <w:t>If an accidental violation occurred, submit a VSD to Treasury. Self-reporting automatically reduces civil baseline penalties by 50%.</w:t>
      </w:r>
    </w:p>
    <w:p w14:paraId="18A1B666" w14:textId="77777777" w:rsidR="001D63A3" w:rsidRDefault="00000000">
      <w:pPr>
        <w:spacing w:after="80"/>
        <w:ind w:left="360"/>
      </w:pPr>
      <w:r>
        <w:rPr>
          <w:rFonts w:ascii="Calibri" w:hAnsi="Calibri"/>
          <w:b/>
        </w:rPr>
        <w:t xml:space="preserve">Step 5: Strict Anti-Facilitation Compliance — </w:t>
      </w:r>
      <w:r>
        <w:rPr>
          <w:rFonts w:ascii="Calibri" w:hAnsi="Calibri"/>
        </w:rPr>
        <w:t>Do not refer or recommend the rejected student or family to foreign partner schools or alternative institutions.</w:t>
      </w:r>
    </w:p>
    <w:p w14:paraId="0EDF37C1" w14:textId="77777777" w:rsidR="001D63A3" w:rsidRDefault="00000000">
      <w:pPr>
        <w:spacing w:after="80"/>
        <w:ind w:left="360"/>
      </w:pPr>
      <w:r>
        <w:rPr>
          <w:rFonts w:ascii="Calibri" w:hAnsi="Calibri"/>
          <w:b/>
        </w:rPr>
        <w:t xml:space="preserve">Step 6: Engage Legal Counsel — </w:t>
      </w:r>
      <w:r>
        <w:rPr>
          <w:rFonts w:ascii="Calibri" w:hAnsi="Calibri"/>
        </w:rPr>
        <w:t>Retain specialized legal counsel experienced in federal sanctions law to navigate communications with Treasury.</w:t>
      </w:r>
    </w:p>
    <w:p w14:paraId="246AB2A5" w14:textId="77777777" w:rsidR="001D63A3" w:rsidRDefault="00000000">
      <w:pPr>
        <w:pStyle w:val="Heading1"/>
      </w:pPr>
      <w:r>
        <w:t>6. Recordkeeping, Contracts &amp; Training</w:t>
      </w:r>
    </w:p>
    <w:p w14:paraId="2C541B04" w14:textId="77777777" w:rsidR="001D63A3" w:rsidRDefault="00000000">
      <w:pPr>
        <w:spacing w:after="160"/>
      </w:pPr>
      <w:r>
        <w:rPr>
          <w:rFonts w:ascii="Calibri" w:hAnsi="Calibri"/>
        </w:rPr>
        <w:t>To establish an affirmative defense of due diligence during a federal audit, the school enforces rigorous recordkeeping and contractual standards.</w:t>
      </w:r>
    </w:p>
    <w:p w14:paraId="319D2F56" w14:textId="77777777" w:rsidR="001D63A3" w:rsidRDefault="00000000">
      <w:pPr>
        <w:pStyle w:val="Heading2"/>
      </w:pPr>
      <w:r>
        <w:t>10-Year Recordkeeping Rule</w:t>
      </w:r>
    </w:p>
    <w:p w14:paraId="762DC9A2" w14:textId="77777777" w:rsidR="001D63A3" w:rsidRDefault="00000000">
      <w:pPr>
        <w:spacing w:after="160"/>
      </w:pPr>
      <w:r>
        <w:rPr>
          <w:rFonts w:ascii="Calibri" w:hAnsi="Calibri"/>
        </w:rPr>
        <w:t xml:space="preserve">The school must retain all OFAC screening logs, search results, false positive clearance memos, wire transfer records, and blocked property filings for a minimum of </w:t>
      </w:r>
      <w:r>
        <w:rPr>
          <w:b/>
        </w:rPr>
        <w:t>10 years</w:t>
      </w:r>
      <w:r>
        <w:rPr>
          <w:rFonts w:ascii="Calibri" w:hAnsi="Calibri"/>
        </w:rPr>
        <w:t xml:space="preserve"> from the date of the transaction.</w:t>
      </w:r>
    </w:p>
    <w:p w14:paraId="559D526C" w14:textId="77777777" w:rsidR="001D63A3" w:rsidRDefault="00000000">
      <w:pPr>
        <w:pStyle w:val="Heading2"/>
      </w:pPr>
      <w:r>
        <w:t>Model Contract Warranty Clauses</w:t>
      </w:r>
    </w:p>
    <w:tbl>
      <w:tblPr>
        <w:tblW w:w="0" w:type="auto"/>
        <w:jc w:val="center"/>
        <w:tblLook w:val="04A0" w:firstRow="1" w:lastRow="0" w:firstColumn="1" w:lastColumn="0" w:noHBand="0" w:noVBand="1"/>
      </w:tblPr>
      <w:tblGrid>
        <w:gridCol w:w="9330"/>
      </w:tblGrid>
      <w:tr w:rsidR="001D63A3" w14:paraId="514EC292" w14:textId="77777777">
        <w:trPr>
          <w:jc w:val="center"/>
        </w:trPr>
        <w:tc>
          <w:tcPr>
            <w:tcW w:w="9360" w:type="dxa"/>
            <w:tcBorders>
              <w:left w:val="single" w:sz="24" w:space="0" w:color="1F4E79"/>
            </w:tcBorders>
            <w:shd w:val="clear" w:color="auto" w:fill="F2F4F7"/>
            <w:tcMar>
              <w:top w:w="140" w:type="dxa"/>
              <w:left w:w="200" w:type="dxa"/>
              <w:bottom w:w="140" w:type="dxa"/>
              <w:right w:w="200" w:type="dxa"/>
            </w:tcMar>
          </w:tcPr>
          <w:p w14:paraId="0F6FDBC5" w14:textId="77777777" w:rsidR="001D63A3" w:rsidRDefault="00000000">
            <w:pPr>
              <w:spacing w:before="40" w:after="80"/>
            </w:pPr>
            <w:r>
              <w:rPr>
                <w:rFonts w:ascii="Calibri" w:hAnsi="Calibri"/>
                <w:b/>
                <w:color w:val="1F4E79"/>
              </w:rPr>
              <w:t>■ MODEL ENROLLMENT CONTRACT WARRANTY CLAUSE</w:t>
            </w:r>
            <w:r>
              <w:rPr>
                <w:rFonts w:ascii="Calibri" w:hAnsi="Calibri"/>
                <w:b/>
                <w:color w:val="1F4E79"/>
              </w:rPr>
              <w:br/>
            </w:r>
            <w:r>
              <w:rPr>
                <w:rFonts w:ascii="Calibri" w:hAnsi="Calibri"/>
                <w:color w:val="262626"/>
                <w:sz w:val="21"/>
              </w:rPr>
              <w:t xml:space="preserve">"Parent/Guardian represents and warrants that neither Parent/Guardian, the enrolled Student, nor any </w:t>
            </w:r>
            <w:r>
              <w:rPr>
                <w:rFonts w:ascii="Calibri" w:hAnsi="Calibri"/>
                <w:color w:val="262626"/>
                <w:sz w:val="21"/>
              </w:rPr>
              <w:lastRenderedPageBreak/>
              <w:t>third-party payor providing tuition or fees on behalf of Student is a Specially Designated National (SDN) or otherwise sanctioned individual on any watchlist maintained by the U.S. Department of the Treasury's Office of Foreign Assets Control (OFAC). Parent/Guardian agrees that any payment originating from a sanctioned entity or in violation of U.S. economic sanctions laws shall constitute grounds for immediate termination of enrollment without refund of fees previously paid."</w:t>
            </w:r>
          </w:p>
        </w:tc>
      </w:tr>
    </w:tbl>
    <w:p w14:paraId="558B491C" w14:textId="77777777" w:rsidR="001D63A3" w:rsidRDefault="001D63A3">
      <w:pPr>
        <w:spacing w:after="120"/>
      </w:pPr>
    </w:p>
    <w:tbl>
      <w:tblPr>
        <w:tblW w:w="0" w:type="auto"/>
        <w:jc w:val="center"/>
        <w:tblLook w:val="04A0" w:firstRow="1" w:lastRow="0" w:firstColumn="1" w:lastColumn="0" w:noHBand="0" w:noVBand="1"/>
      </w:tblPr>
      <w:tblGrid>
        <w:gridCol w:w="9330"/>
      </w:tblGrid>
      <w:tr w:rsidR="001D63A3" w14:paraId="6D4DDD03" w14:textId="77777777">
        <w:trPr>
          <w:jc w:val="center"/>
        </w:trPr>
        <w:tc>
          <w:tcPr>
            <w:tcW w:w="9360" w:type="dxa"/>
            <w:tcBorders>
              <w:left w:val="single" w:sz="24" w:space="0" w:color="1F4E79"/>
            </w:tcBorders>
            <w:shd w:val="clear" w:color="auto" w:fill="F2F4F7"/>
            <w:tcMar>
              <w:top w:w="140" w:type="dxa"/>
              <w:left w:w="200" w:type="dxa"/>
              <w:bottom w:w="140" w:type="dxa"/>
              <w:right w:w="200" w:type="dxa"/>
            </w:tcMar>
          </w:tcPr>
          <w:p w14:paraId="5B808A7E" w14:textId="77777777" w:rsidR="001D63A3" w:rsidRDefault="00000000">
            <w:pPr>
              <w:spacing w:before="40" w:after="80"/>
            </w:pPr>
            <w:r>
              <w:rPr>
                <w:rFonts w:ascii="Calibri" w:hAnsi="Calibri"/>
                <w:b/>
                <w:color w:val="1F4E79"/>
              </w:rPr>
              <w:t>■ MODEL VENDOR AGREEMENT WARRANTY CLAUSE</w:t>
            </w:r>
            <w:r>
              <w:rPr>
                <w:rFonts w:ascii="Calibri" w:hAnsi="Calibri"/>
                <w:b/>
                <w:color w:val="1F4E79"/>
              </w:rPr>
              <w:br/>
            </w:r>
            <w:r>
              <w:rPr>
                <w:rFonts w:ascii="Calibri" w:hAnsi="Calibri"/>
                <w:color w:val="262626"/>
                <w:sz w:val="21"/>
              </w:rPr>
              <w:t>"Vendor represents and warrants that neither Vendor nor any of its principal officers, directors, or controlling owners is a sanctioned person or entity under U.S. economic sanctions laws enforced by OFAC. Vendor agrees to immediately notify School if it or any affiliated entity becomes subject to OFAC sanctions during the term of this Agreement."</w:t>
            </w:r>
          </w:p>
        </w:tc>
      </w:tr>
    </w:tbl>
    <w:p w14:paraId="5F24A2BD" w14:textId="77777777" w:rsidR="001D63A3" w:rsidRDefault="001D63A3">
      <w:pPr>
        <w:spacing w:after="120"/>
      </w:pPr>
    </w:p>
    <w:p w14:paraId="1B84272C" w14:textId="77777777" w:rsidR="001D63A3" w:rsidRDefault="00000000">
      <w:pPr>
        <w:pStyle w:val="Heading2"/>
      </w:pPr>
      <w:r>
        <w:t>Annual Staff Training &amp; Policy Audit</w:t>
      </w:r>
    </w:p>
    <w:p w14:paraId="37DF75C9" w14:textId="77777777" w:rsidR="001D63A3" w:rsidRDefault="00000000">
      <w:pPr>
        <w:spacing w:after="160"/>
      </w:pPr>
      <w:r>
        <w:rPr>
          <w:rFonts w:ascii="Calibri" w:hAnsi="Calibri"/>
        </w:rPr>
        <w:t>The Business Office Compliance Lead shall conduct mandatory annual training for all Admissions, Advancement, Finance, and International Programs staff. This policy manual shall be audited annually to incorporate updates in Treasury regulations and foreign policy directives.</w:t>
      </w:r>
    </w:p>
    <w:sectPr w:rsidR="001D63A3"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3B75" w14:textId="77777777" w:rsidR="001261DF" w:rsidRDefault="001261DF">
      <w:pPr>
        <w:spacing w:after="0" w:line="240" w:lineRule="auto"/>
      </w:pPr>
      <w:r>
        <w:separator/>
      </w:r>
    </w:p>
  </w:endnote>
  <w:endnote w:type="continuationSeparator" w:id="0">
    <w:p w14:paraId="40D344A0" w14:textId="77777777" w:rsidR="001261DF" w:rsidRDefault="0012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30B2" w14:textId="77777777" w:rsidR="001D63A3" w:rsidRDefault="00000000">
    <w:pPr>
      <w:pStyle w:val="Footer"/>
      <w:jc w:val="center"/>
    </w:pPr>
    <w:r>
      <w:rPr>
        <w:rFonts w:ascii="Calibri" w:hAnsi="Calibri"/>
        <w:color w:val="595959"/>
        <w:sz w:val="18"/>
      </w:rPr>
      <w:t xml:space="preserve">Page </w:t>
    </w:r>
    <w:r>
      <w:fldChar w:fldCharType="begin"/>
    </w:r>
    <w:r>
      <w:instrText>PAGE</w:instrText>
    </w:r>
    <w:r>
      <w:fldChar w:fldCharType="separate"/>
    </w:r>
    <w:r w:rsidR="009A1E55">
      <w:rPr>
        <w:noProof/>
      </w:rPr>
      <w:t>1</w:t>
    </w:r>
    <w:r>
      <w:fldChar w:fldCharType="end"/>
    </w:r>
    <w:r>
      <w:rPr>
        <w:rFonts w:ascii="Calibri" w:hAnsi="Calibri"/>
        <w:color w:val="595959"/>
        <w:sz w:val="18"/>
      </w:rPr>
      <w:t xml:space="preserve"> of </w:t>
    </w:r>
    <w:r>
      <w:fldChar w:fldCharType="begin"/>
    </w:r>
    <w:r>
      <w:instrText>NUMPAGES</w:instrText>
    </w:r>
    <w:r>
      <w:fldChar w:fldCharType="separate"/>
    </w:r>
    <w:r w:rsidR="009A1E5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2BE8C" w14:textId="77777777" w:rsidR="001261DF" w:rsidRDefault="001261DF">
      <w:pPr>
        <w:spacing w:after="0" w:line="240" w:lineRule="auto"/>
      </w:pPr>
      <w:r>
        <w:separator/>
      </w:r>
    </w:p>
  </w:footnote>
  <w:footnote w:type="continuationSeparator" w:id="0">
    <w:p w14:paraId="5C02967F" w14:textId="77777777" w:rsidR="001261DF" w:rsidRDefault="00126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8256" w14:textId="77777777" w:rsidR="001D63A3" w:rsidRDefault="00000000">
    <w:pPr>
      <w:pStyle w:val="Header"/>
      <w:jc w:val="right"/>
    </w:pPr>
    <w:r>
      <w:rPr>
        <w:rFonts w:ascii="Calibri" w:hAnsi="Calibri"/>
        <w:color w:val="7F7F7F"/>
        <w:sz w:val="17"/>
      </w:rPr>
      <w:t>INDEPENDENT SCHOOL POLICY &amp; OPERATING PROCEDURES | OFAC COMPLIANCE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1712788">
    <w:abstractNumId w:val="8"/>
  </w:num>
  <w:num w:numId="2" w16cid:durableId="1873809150">
    <w:abstractNumId w:val="6"/>
  </w:num>
  <w:num w:numId="3" w16cid:durableId="1225945644">
    <w:abstractNumId w:val="5"/>
  </w:num>
  <w:num w:numId="4" w16cid:durableId="848832691">
    <w:abstractNumId w:val="4"/>
  </w:num>
  <w:num w:numId="5" w16cid:durableId="897008291">
    <w:abstractNumId w:val="7"/>
  </w:num>
  <w:num w:numId="6" w16cid:durableId="1030839293">
    <w:abstractNumId w:val="3"/>
  </w:num>
  <w:num w:numId="7" w16cid:durableId="1121849038">
    <w:abstractNumId w:val="2"/>
  </w:num>
  <w:num w:numId="8" w16cid:durableId="479350178">
    <w:abstractNumId w:val="1"/>
  </w:num>
  <w:num w:numId="9" w16cid:durableId="1549298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61DF"/>
    <w:rsid w:val="0015074B"/>
    <w:rsid w:val="001D63A3"/>
    <w:rsid w:val="0029639D"/>
    <w:rsid w:val="00326F90"/>
    <w:rsid w:val="009A1E55"/>
    <w:rsid w:val="00AA1D8D"/>
    <w:rsid w:val="00B47730"/>
    <w:rsid w:val="00CB0664"/>
    <w:rsid w:val="00DE2C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7A1012"/>
  <w14:defaultImageDpi w14:val="300"/>
  <w15:docId w15:val="{A5D0EBB4-8190-4761-B798-0BD20A3E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Damian Kavanagh</cp:lastModifiedBy>
  <cp:revision>2</cp:revision>
  <dcterms:created xsi:type="dcterms:W3CDTF">2026-10-16T11:35:00Z</dcterms:created>
  <dcterms:modified xsi:type="dcterms:W3CDTF">2026-10-16T11:35:00Z</dcterms:modified>
  <cp:category/>
</cp:coreProperties>
</file>