
<file path=[Content_Types].xml><?xml version="1.0" encoding="utf-8"?>
<Types xmlns="http://schemas.openxmlformats.org/package/2006/content-types">
  <Default Extension="jpg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2DC4E" w14:textId="77777777" w:rsidR="002774CA" w:rsidRDefault="00D07A33" w:rsidP="002774CA">
      <w:pPr>
        <w:pStyle w:val="Default"/>
      </w:pPr>
      <w:r>
        <w:rPr>
          <w:noProof/>
        </w:rPr>
        <w:drawing>
          <wp:inline distT="0" distB="0" distL="0" distR="0" wp14:anchorId="511A2B1D" wp14:editId="73F4D8B7">
            <wp:extent cx="276225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aa_log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CA53C9" w14:textId="77777777" w:rsidR="00D07A33" w:rsidRDefault="00D07A33" w:rsidP="002774CA">
      <w:pPr>
        <w:pStyle w:val="Default"/>
      </w:pPr>
    </w:p>
    <w:p w14:paraId="75FD0961" w14:textId="77777777" w:rsidR="002774CA" w:rsidRDefault="004721ED" w:rsidP="004721ED">
      <w:pPr>
        <w:pStyle w:val="Default"/>
        <w:jc w:val="center"/>
        <w:rPr>
          <w:rFonts w:asciiTheme="minorHAnsi" w:hAnsiTheme="minorHAnsi"/>
          <w:b/>
          <w:bCs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CTAA TRAVEL POLICY</w:t>
      </w:r>
    </w:p>
    <w:p w14:paraId="075DB365" w14:textId="77777777" w:rsidR="00954A44" w:rsidRPr="00954A44" w:rsidRDefault="00954A44" w:rsidP="004721ED">
      <w:pPr>
        <w:pStyle w:val="Default"/>
        <w:jc w:val="center"/>
        <w:rPr>
          <w:rFonts w:asciiTheme="minorHAnsi" w:hAnsiTheme="minorHAnsi"/>
          <w:color w:val="21304E"/>
        </w:rPr>
      </w:pPr>
    </w:p>
    <w:p w14:paraId="30B7E58F" w14:textId="77777777" w:rsidR="002774CA" w:rsidRPr="00954A44" w:rsidRDefault="002774CA" w:rsidP="004721ED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>This policy applies to all Connecticut Apartment Association (CTAA) Board Members and Committee Chairs that travel on behalf of CTAA.</w:t>
      </w:r>
    </w:p>
    <w:p w14:paraId="19EE7DD0" w14:textId="77777777" w:rsidR="004721ED" w:rsidRPr="00954A44" w:rsidRDefault="004721ED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6D5D4663" w14:textId="77777777" w:rsidR="002774CA" w:rsidRPr="00954A44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PURPOSE:</w:t>
      </w:r>
    </w:p>
    <w:p w14:paraId="2E623C27" w14:textId="77777777" w:rsidR="002774CA" w:rsidRDefault="004721ED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 xml:space="preserve">This policy has been created 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to provide guidelines for travel associated with the CTAA. It has been established to ensure the appropriate level of accounting </w:t>
      </w:r>
      <w:r w:rsidRPr="00954A44">
        <w:rPr>
          <w:rFonts w:asciiTheme="minorHAnsi" w:hAnsiTheme="minorHAnsi"/>
          <w:color w:val="21304E"/>
          <w:sz w:val="20"/>
          <w:szCs w:val="20"/>
        </w:rPr>
        <w:t>for the CTAA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 to ensure that expenses are appropriate and reasonable.</w:t>
      </w:r>
    </w:p>
    <w:p w14:paraId="09AA6522" w14:textId="77777777" w:rsidR="00D07A33" w:rsidRPr="00954A44" w:rsidRDefault="00D07A33" w:rsidP="002774CA">
      <w:pPr>
        <w:pStyle w:val="Default"/>
        <w:rPr>
          <w:rFonts w:asciiTheme="minorHAnsi" w:hAnsiTheme="minorHAnsi"/>
          <w:b/>
          <w:bCs/>
          <w:color w:val="21304E"/>
          <w:sz w:val="20"/>
          <w:szCs w:val="20"/>
        </w:rPr>
      </w:pPr>
    </w:p>
    <w:p w14:paraId="68F68F55" w14:textId="77777777" w:rsidR="002774CA" w:rsidRPr="00954A44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POLICY:</w:t>
      </w:r>
    </w:p>
    <w:p w14:paraId="55E5A2BE" w14:textId="77777777" w:rsidR="002774CA" w:rsidRDefault="002774CA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 xml:space="preserve">All travel must be pre-approved by the acting President. The Association will reimburse </w:t>
      </w:r>
      <w:r w:rsidR="00FD6F2D">
        <w:rPr>
          <w:rFonts w:asciiTheme="minorHAnsi" w:hAnsiTheme="minorHAnsi"/>
          <w:color w:val="21304E"/>
          <w:sz w:val="20"/>
          <w:szCs w:val="20"/>
        </w:rPr>
        <w:t>travelers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for all out-of-pocket expenses incurred while on CTAA business that would not otherwise b</w:t>
      </w:r>
      <w:r w:rsidR="00954A44">
        <w:rPr>
          <w:rFonts w:asciiTheme="minorHAnsi" w:hAnsiTheme="minorHAnsi"/>
          <w:color w:val="21304E"/>
          <w:sz w:val="20"/>
          <w:szCs w:val="20"/>
        </w:rPr>
        <w:t>e incurred. Expenses of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personal nature or </w:t>
      </w:r>
      <w:r w:rsidR="00954A44">
        <w:rPr>
          <w:rFonts w:asciiTheme="minorHAnsi" w:hAnsiTheme="minorHAnsi"/>
          <w:color w:val="21304E"/>
          <w:sz w:val="20"/>
          <w:szCs w:val="20"/>
        </w:rPr>
        <w:t>those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that would be incurred whether or not the </w:t>
      </w:r>
      <w:r w:rsidR="00FD6F2D">
        <w:rPr>
          <w:rFonts w:asciiTheme="minorHAnsi" w:hAnsiTheme="minorHAnsi"/>
          <w:color w:val="21304E"/>
          <w:sz w:val="20"/>
          <w:szCs w:val="20"/>
        </w:rPr>
        <w:t>traveler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was on </w:t>
      </w:r>
      <w:r w:rsidR="00FD6F2D">
        <w:rPr>
          <w:rFonts w:asciiTheme="minorHAnsi" w:hAnsiTheme="minorHAnsi"/>
          <w:color w:val="21304E"/>
          <w:sz w:val="20"/>
          <w:szCs w:val="20"/>
        </w:rPr>
        <w:t xml:space="preserve">CTAA 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business are not eligible for reimbursement. CTAA expects </w:t>
      </w:r>
      <w:r w:rsidR="00954A44">
        <w:rPr>
          <w:rFonts w:asciiTheme="minorHAnsi" w:hAnsiTheme="minorHAnsi"/>
          <w:color w:val="21304E"/>
          <w:sz w:val="20"/>
          <w:szCs w:val="20"/>
        </w:rPr>
        <w:t>travelers to travel</w:t>
      </w:r>
      <w:r w:rsidR="00FD6F2D">
        <w:rPr>
          <w:rFonts w:asciiTheme="minorHAnsi" w:hAnsiTheme="minorHAnsi"/>
          <w:color w:val="21304E"/>
          <w:sz w:val="20"/>
          <w:szCs w:val="20"/>
        </w:rPr>
        <w:t xml:space="preserve"> with a reasonable level of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comfort at the lowest cost. Travelers are expected to travel via the least expensive, most direct, and efficient means available.</w:t>
      </w:r>
    </w:p>
    <w:p w14:paraId="65A13E52" w14:textId="77777777" w:rsidR="00D07A33" w:rsidRPr="00954A44" w:rsidRDefault="00D07A33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75E0ADD2" w14:textId="77777777" w:rsidR="002774CA" w:rsidRPr="00954A44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PROCEDURE:</w:t>
      </w:r>
    </w:p>
    <w:p w14:paraId="47794FEB" w14:textId="27A438C9" w:rsidR="00954A44" w:rsidRDefault="002774CA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 xml:space="preserve">All air, rail, car, hotel and other CTAA business expenses must be paid for </w:t>
      </w:r>
      <w:r w:rsidR="00786568">
        <w:rPr>
          <w:rFonts w:asciiTheme="minorHAnsi" w:hAnsiTheme="minorHAnsi"/>
          <w:color w:val="21304E"/>
          <w:sz w:val="20"/>
          <w:szCs w:val="20"/>
        </w:rPr>
        <w:t xml:space="preserve">through the </w:t>
      </w:r>
      <w:r w:rsidR="004863E8">
        <w:rPr>
          <w:rFonts w:asciiTheme="minorHAnsi" w:hAnsiTheme="minorHAnsi"/>
          <w:color w:val="21304E"/>
          <w:sz w:val="20"/>
          <w:szCs w:val="20"/>
        </w:rPr>
        <w:t>A</w:t>
      </w:r>
      <w:r w:rsidR="00786568">
        <w:rPr>
          <w:rFonts w:asciiTheme="minorHAnsi" w:hAnsiTheme="minorHAnsi"/>
          <w:color w:val="21304E"/>
          <w:sz w:val="20"/>
          <w:szCs w:val="20"/>
        </w:rPr>
        <w:t>ssociation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or your personal credit card (if applicable). </w:t>
      </w:r>
      <w:r w:rsidR="004721ED" w:rsidRPr="00954A44">
        <w:rPr>
          <w:rFonts w:asciiTheme="minorHAnsi" w:hAnsiTheme="minorHAnsi"/>
          <w:color w:val="21304E"/>
          <w:sz w:val="20"/>
          <w:szCs w:val="20"/>
        </w:rPr>
        <w:t>Travelers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should be aware of</w:t>
      </w:r>
      <w:r w:rsidR="00FD6F2D">
        <w:rPr>
          <w:rFonts w:asciiTheme="minorHAnsi" w:hAnsiTheme="minorHAnsi"/>
          <w:color w:val="21304E"/>
          <w:sz w:val="20"/>
          <w:szCs w:val="20"/>
        </w:rPr>
        <w:t xml:space="preserve"> airline r</w:t>
      </w:r>
      <w:r w:rsidRPr="00954A44">
        <w:rPr>
          <w:rFonts w:asciiTheme="minorHAnsi" w:hAnsiTheme="minorHAnsi"/>
          <w:color w:val="21304E"/>
          <w:sz w:val="20"/>
          <w:szCs w:val="20"/>
        </w:rPr>
        <w:t>ules and m</w:t>
      </w:r>
      <w:r w:rsidR="00FD6F2D">
        <w:rPr>
          <w:rFonts w:asciiTheme="minorHAnsi" w:hAnsiTheme="minorHAnsi"/>
          <w:color w:val="21304E"/>
          <w:sz w:val="20"/>
          <w:szCs w:val="20"/>
        </w:rPr>
        <w:t xml:space="preserve">ake sure they are in compliance. </w:t>
      </w:r>
      <w:r w:rsidRPr="00954A44">
        <w:rPr>
          <w:rFonts w:asciiTheme="minorHAnsi" w:hAnsiTheme="minorHAnsi"/>
          <w:color w:val="21304E"/>
          <w:sz w:val="20"/>
          <w:szCs w:val="20"/>
        </w:rPr>
        <w:t>Extra baggage charges and charges for personal items (i.e., gol</w:t>
      </w:r>
      <w:r w:rsidR="00954A44">
        <w:rPr>
          <w:rFonts w:asciiTheme="minorHAnsi" w:hAnsiTheme="minorHAnsi"/>
          <w:color w:val="21304E"/>
          <w:sz w:val="20"/>
          <w:szCs w:val="20"/>
        </w:rPr>
        <w:t>f clubs) will not be reimbursed.</w:t>
      </w:r>
    </w:p>
    <w:p w14:paraId="13FBC350" w14:textId="77777777" w:rsidR="00D07A33" w:rsidRDefault="00D07A33" w:rsidP="002774CA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3C809ED7" w14:textId="77777777" w:rsidR="002774CA" w:rsidRPr="00954A44" w:rsidRDefault="004721ED" w:rsidP="002774CA">
      <w:pPr>
        <w:pStyle w:val="Default"/>
        <w:rPr>
          <w:rFonts w:asciiTheme="minorHAnsi" w:hAnsiTheme="minorHAnsi"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Use of Personal Vehicle:</w:t>
      </w:r>
    </w:p>
    <w:p w14:paraId="2D5A8296" w14:textId="21B6186B" w:rsidR="004721ED" w:rsidRDefault="00954A44" w:rsidP="004721ED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>For p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>ersonal vehicles used for trips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out of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 </w:t>
      </w:r>
      <w:r w:rsidRPr="00954A44">
        <w:rPr>
          <w:rFonts w:asciiTheme="minorHAnsi" w:hAnsiTheme="minorHAnsi"/>
          <w:color w:val="21304E"/>
          <w:sz w:val="20"/>
          <w:szCs w:val="20"/>
        </w:rPr>
        <w:t>the State of CT i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>t is the personal responsibility of the vehicle owner to carry adequate insurance coverage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. 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>When a personal automobile is used for Association busine</w:t>
      </w:r>
      <w:r w:rsidR="004721ED" w:rsidRPr="00954A44">
        <w:rPr>
          <w:rFonts w:asciiTheme="minorHAnsi" w:hAnsiTheme="minorHAnsi"/>
          <w:color w:val="21304E"/>
          <w:sz w:val="20"/>
          <w:szCs w:val="20"/>
        </w:rPr>
        <w:t>ss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outside of CT</w:t>
      </w:r>
      <w:r w:rsidR="004721ED" w:rsidRPr="00954A44">
        <w:rPr>
          <w:rFonts w:asciiTheme="minorHAnsi" w:hAnsiTheme="minorHAnsi"/>
          <w:color w:val="21304E"/>
          <w:sz w:val="20"/>
          <w:szCs w:val="20"/>
        </w:rPr>
        <w:t xml:space="preserve">, mileage will be reimbursed at </w:t>
      </w:r>
      <w:r w:rsidR="004863E8">
        <w:rPr>
          <w:rFonts w:asciiTheme="minorHAnsi" w:hAnsiTheme="minorHAnsi"/>
          <w:color w:val="21304E"/>
          <w:sz w:val="20"/>
          <w:szCs w:val="20"/>
        </w:rPr>
        <w:t xml:space="preserve">the applicable </w:t>
      </w:r>
      <w:r w:rsidR="001438D4">
        <w:rPr>
          <w:rFonts w:asciiTheme="minorHAnsi" w:hAnsiTheme="minorHAnsi"/>
          <w:color w:val="21304E"/>
          <w:sz w:val="20"/>
          <w:szCs w:val="20"/>
        </w:rPr>
        <w:t>standard rate at time of travel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. </w:t>
      </w:r>
      <w:r w:rsidRPr="00954A44">
        <w:rPr>
          <w:rFonts w:asciiTheme="minorHAnsi" w:hAnsiTheme="minorHAnsi"/>
          <w:color w:val="21304E"/>
          <w:sz w:val="20"/>
          <w:szCs w:val="20"/>
        </w:rPr>
        <w:t>Tolls and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 parking</w:t>
      </w:r>
      <w:r w:rsidR="00FD6F2D">
        <w:rPr>
          <w:rFonts w:asciiTheme="minorHAnsi" w:hAnsiTheme="minorHAnsi"/>
          <w:color w:val="21304E"/>
          <w:sz w:val="20"/>
          <w:szCs w:val="20"/>
        </w:rPr>
        <w:t xml:space="preserve"> are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 reimbursable. Personal </w:t>
      </w:r>
      <w:r w:rsidRPr="00954A44">
        <w:rPr>
          <w:rFonts w:asciiTheme="minorHAnsi" w:hAnsiTheme="minorHAnsi"/>
          <w:color w:val="21304E"/>
          <w:sz w:val="20"/>
          <w:szCs w:val="20"/>
        </w:rPr>
        <w:t>car repairs, traffic violations or</w:t>
      </w:r>
      <w:r w:rsidR="002774CA" w:rsidRPr="00954A44">
        <w:rPr>
          <w:rFonts w:asciiTheme="minorHAnsi" w:hAnsiTheme="minorHAnsi"/>
          <w:color w:val="21304E"/>
          <w:sz w:val="20"/>
          <w:szCs w:val="20"/>
        </w:rPr>
        <w:t xml:space="preserve"> fines are not reimbursable expenses. </w:t>
      </w:r>
    </w:p>
    <w:p w14:paraId="04507E3A" w14:textId="77777777" w:rsidR="00D07A33" w:rsidRPr="00954A44" w:rsidRDefault="00D07A33" w:rsidP="004721ED">
      <w:pPr>
        <w:pStyle w:val="Default"/>
        <w:rPr>
          <w:rFonts w:asciiTheme="minorHAnsi" w:hAnsiTheme="minorHAnsi"/>
          <w:color w:val="21304E"/>
          <w:sz w:val="20"/>
          <w:szCs w:val="20"/>
        </w:rPr>
      </w:pPr>
    </w:p>
    <w:p w14:paraId="1F07205C" w14:textId="77777777" w:rsidR="002774CA" w:rsidRPr="00954A44" w:rsidRDefault="002774CA" w:rsidP="002774CA">
      <w:pPr>
        <w:pStyle w:val="Default"/>
        <w:rPr>
          <w:rFonts w:asciiTheme="minorHAnsi" w:hAnsiTheme="minorHAnsi"/>
          <w:color w:val="21304E"/>
        </w:rPr>
      </w:pPr>
      <w:r w:rsidRPr="00954A44">
        <w:rPr>
          <w:rFonts w:asciiTheme="minorHAnsi" w:hAnsiTheme="minorHAnsi"/>
          <w:b/>
          <w:bCs/>
          <w:color w:val="21304E"/>
        </w:rPr>
        <w:t>Lodging/Accommodations</w:t>
      </w:r>
      <w:r w:rsidR="004721ED" w:rsidRPr="00954A44">
        <w:rPr>
          <w:rFonts w:asciiTheme="minorHAnsi" w:hAnsiTheme="minorHAnsi"/>
          <w:b/>
          <w:bCs/>
          <w:color w:val="21304E"/>
        </w:rPr>
        <w:t>:</w:t>
      </w:r>
      <w:r w:rsidRPr="00954A44">
        <w:rPr>
          <w:rFonts w:asciiTheme="minorHAnsi" w:hAnsiTheme="minorHAnsi"/>
          <w:b/>
          <w:bCs/>
          <w:color w:val="21304E"/>
        </w:rPr>
        <w:t xml:space="preserve"> </w:t>
      </w:r>
    </w:p>
    <w:p w14:paraId="6F71201E" w14:textId="09F433AB" w:rsidR="002774CA" w:rsidRDefault="002774CA" w:rsidP="002774CA">
      <w:pPr>
        <w:pStyle w:val="Default"/>
        <w:rPr>
          <w:rFonts w:asciiTheme="minorHAnsi" w:hAnsiTheme="minorHAnsi" w:cs="Arial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>Hotels should be boo</w:t>
      </w:r>
      <w:r w:rsidR="00954A44" w:rsidRPr="00954A44">
        <w:rPr>
          <w:rFonts w:asciiTheme="minorHAnsi" w:hAnsiTheme="minorHAnsi"/>
          <w:color w:val="21304E"/>
          <w:sz w:val="20"/>
          <w:szCs w:val="20"/>
        </w:rPr>
        <w:t xml:space="preserve">ked that are considered to be moderate-priced hotels not luxury or upscale </w:t>
      </w:r>
      <w:r w:rsidRPr="00954A44">
        <w:rPr>
          <w:rFonts w:asciiTheme="minorHAnsi" w:hAnsiTheme="minorHAnsi"/>
          <w:color w:val="21304E"/>
          <w:sz w:val="20"/>
          <w:szCs w:val="20"/>
        </w:rPr>
        <w:t>hotels.</w:t>
      </w:r>
      <w:r w:rsidR="00954A44" w:rsidRPr="00954A44">
        <w:rPr>
          <w:rFonts w:asciiTheme="minorHAnsi" w:hAnsiTheme="minorHAnsi"/>
          <w:color w:val="21304E"/>
          <w:sz w:val="20"/>
          <w:szCs w:val="20"/>
        </w:rPr>
        <w:t xml:space="preserve"> 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Hotel room upgrades are not reimbursable expenses. </w:t>
      </w:r>
      <w:r w:rsidRPr="00954A44">
        <w:rPr>
          <w:rFonts w:asciiTheme="minorHAnsi" w:hAnsiTheme="minorHAnsi" w:cs="Arial"/>
          <w:color w:val="21304E"/>
          <w:sz w:val="20"/>
          <w:szCs w:val="20"/>
        </w:rPr>
        <w:t>Personal phone calls made from the hotel room, in-room movies, minibar usage or room service outside of the meal expenses will be at the expense of the</w:t>
      </w:r>
      <w:r w:rsidR="004721ED" w:rsidRPr="00954A44">
        <w:rPr>
          <w:rFonts w:asciiTheme="minorHAnsi" w:hAnsiTheme="minorHAnsi" w:cs="Arial"/>
          <w:color w:val="21304E"/>
          <w:sz w:val="20"/>
          <w:szCs w:val="20"/>
        </w:rPr>
        <w:t xml:space="preserve"> Association member.</w:t>
      </w:r>
    </w:p>
    <w:p w14:paraId="61EA0FAA" w14:textId="77777777" w:rsidR="00D07A33" w:rsidRPr="00954A44" w:rsidRDefault="00D07A33" w:rsidP="002774CA">
      <w:pPr>
        <w:pStyle w:val="Default"/>
        <w:rPr>
          <w:rFonts w:asciiTheme="minorHAnsi" w:hAnsiTheme="minorHAnsi" w:cs="Arial"/>
          <w:color w:val="21304E"/>
          <w:sz w:val="20"/>
          <w:szCs w:val="20"/>
        </w:rPr>
      </w:pPr>
    </w:p>
    <w:p w14:paraId="6B67D4D5" w14:textId="77777777" w:rsidR="002774CA" w:rsidRPr="00954A44" w:rsidRDefault="00954A44" w:rsidP="002774CA">
      <w:pPr>
        <w:pStyle w:val="Default"/>
        <w:rPr>
          <w:rFonts w:asciiTheme="minorHAnsi" w:hAnsiTheme="minorHAnsi"/>
          <w:color w:val="21304E"/>
        </w:rPr>
      </w:pPr>
      <w:r>
        <w:rPr>
          <w:rFonts w:asciiTheme="minorHAnsi" w:hAnsiTheme="minorHAnsi"/>
          <w:b/>
          <w:bCs/>
          <w:color w:val="21304E"/>
        </w:rPr>
        <w:t>Meals:</w:t>
      </w:r>
    </w:p>
    <w:p w14:paraId="095CD4B0" w14:textId="77777777" w:rsidR="002774CA" w:rsidRPr="00954A44" w:rsidRDefault="002774CA" w:rsidP="004721ED">
      <w:pPr>
        <w:pStyle w:val="Default"/>
        <w:rPr>
          <w:rFonts w:asciiTheme="minorHAnsi" w:hAnsiTheme="minorHAnsi"/>
          <w:color w:val="21304E"/>
          <w:sz w:val="20"/>
          <w:szCs w:val="20"/>
        </w:rPr>
      </w:pPr>
      <w:r w:rsidRPr="00954A44">
        <w:rPr>
          <w:rFonts w:asciiTheme="minorHAnsi" w:hAnsiTheme="minorHAnsi"/>
          <w:color w:val="21304E"/>
          <w:sz w:val="20"/>
          <w:szCs w:val="20"/>
        </w:rPr>
        <w:t xml:space="preserve">An allowance is payable to </w:t>
      </w:r>
      <w:r w:rsidR="004721ED" w:rsidRPr="00954A44">
        <w:rPr>
          <w:rFonts w:asciiTheme="minorHAnsi" w:hAnsiTheme="minorHAnsi"/>
          <w:color w:val="21304E"/>
          <w:sz w:val="20"/>
          <w:szCs w:val="20"/>
        </w:rPr>
        <w:t>those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 traveling overnight. Th</w:t>
      </w:r>
      <w:r w:rsidR="004721ED" w:rsidRPr="00954A44">
        <w:rPr>
          <w:rFonts w:asciiTheme="minorHAnsi" w:hAnsiTheme="minorHAnsi"/>
          <w:color w:val="21304E"/>
          <w:sz w:val="20"/>
          <w:szCs w:val="20"/>
        </w:rPr>
        <w:t xml:space="preserve">e allowance is not to exceed $75.00 per day. </w:t>
      </w:r>
      <w:r w:rsidRPr="00954A44">
        <w:rPr>
          <w:rFonts w:asciiTheme="minorHAnsi" w:hAnsiTheme="minorHAnsi"/>
          <w:color w:val="21304E"/>
          <w:sz w:val="20"/>
          <w:szCs w:val="20"/>
        </w:rPr>
        <w:t xml:space="preserve">If a meal is provided as part of a conference or training seminar registration fee, or a business meeting, the allowance for that meal may not be claimed. </w:t>
      </w:r>
    </w:p>
    <w:p w14:paraId="4958073A" w14:textId="77777777" w:rsidR="002A7D05" w:rsidRPr="00954A44" w:rsidRDefault="002A7D05" w:rsidP="002774CA"/>
    <w:sectPr w:rsidR="002A7D05" w:rsidRPr="00954A44" w:rsidSect="00D07A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FA773" w14:textId="77777777" w:rsidR="00AE63EF" w:rsidRDefault="00AE63EF" w:rsidP="00954A44">
      <w:pPr>
        <w:spacing w:after="0" w:line="240" w:lineRule="auto"/>
      </w:pPr>
      <w:r>
        <w:separator/>
      </w:r>
    </w:p>
  </w:endnote>
  <w:endnote w:type="continuationSeparator" w:id="0">
    <w:p w14:paraId="3C3ACD27" w14:textId="77777777" w:rsidR="00AE63EF" w:rsidRDefault="00AE63EF" w:rsidP="0095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678AF" w14:textId="77777777" w:rsidR="00954A44" w:rsidRDefault="00954A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8155" w14:textId="77777777" w:rsidR="00954A44" w:rsidRDefault="00954A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88F3A" w14:textId="77777777" w:rsidR="00954A44" w:rsidRDefault="00954A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AD4E0" w14:textId="77777777" w:rsidR="00AE63EF" w:rsidRDefault="00AE63EF" w:rsidP="00954A44">
      <w:pPr>
        <w:spacing w:after="0" w:line="240" w:lineRule="auto"/>
      </w:pPr>
      <w:r>
        <w:separator/>
      </w:r>
    </w:p>
  </w:footnote>
  <w:footnote w:type="continuationSeparator" w:id="0">
    <w:p w14:paraId="32DF0659" w14:textId="77777777" w:rsidR="00AE63EF" w:rsidRDefault="00AE63EF" w:rsidP="0095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A5CF4" w14:textId="77777777" w:rsidR="00954A44" w:rsidRDefault="00954A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312B" w14:textId="77777777" w:rsidR="00954A44" w:rsidRDefault="00954A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CA0A7" w14:textId="77777777" w:rsidR="00954A44" w:rsidRDefault="00954A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CA"/>
    <w:rsid w:val="001018D0"/>
    <w:rsid w:val="001438D4"/>
    <w:rsid w:val="002774CA"/>
    <w:rsid w:val="002A7D05"/>
    <w:rsid w:val="0046640B"/>
    <w:rsid w:val="004721ED"/>
    <w:rsid w:val="004863E8"/>
    <w:rsid w:val="00786568"/>
    <w:rsid w:val="007A1CD2"/>
    <w:rsid w:val="008B18F0"/>
    <w:rsid w:val="00954A44"/>
    <w:rsid w:val="009B4001"/>
    <w:rsid w:val="00AE63EF"/>
    <w:rsid w:val="00D07A33"/>
    <w:rsid w:val="00FD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FE8F0C8"/>
  <w15:docId w15:val="{BADBE3E2-DE56-4BA6-AB4E-47D339BC8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74C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44"/>
  </w:style>
  <w:style w:type="paragraph" w:styleId="Footer">
    <w:name w:val="footer"/>
    <w:basedOn w:val="Normal"/>
    <w:link w:val="FooterChar"/>
    <w:uiPriority w:val="99"/>
    <w:unhideWhenUsed/>
    <w:rsid w:val="00954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B9E1CA00BB8449BBC1BE5796B1F3A1" ma:contentTypeVersion="10" ma:contentTypeDescription="Create a new document." ma:contentTypeScope="" ma:versionID="0318e78b473d11864218e20eeebfbe5a">
  <xsd:schema xmlns:xsd="http://www.w3.org/2001/XMLSchema" xmlns:xs="http://www.w3.org/2001/XMLSchema" xmlns:p="http://schemas.microsoft.com/office/2006/metadata/properties" xmlns:ns2="6f5b617c-74a2-40fc-a32d-d72579122881" xmlns:ns3="b4dcadea-d2c5-4b92-881c-0a2c38718f39" targetNamespace="http://schemas.microsoft.com/office/2006/metadata/properties" ma:root="true" ma:fieldsID="242fe0241aa4eb989f686707d9338787" ns2:_="" ns3:_="">
    <xsd:import namespace="6f5b617c-74a2-40fc-a32d-d72579122881"/>
    <xsd:import namespace="b4dcadea-d2c5-4b92-881c-0a2c38718f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b617c-74a2-40fc-a32d-d72579122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dcadea-d2c5-4b92-881c-0a2c38718f3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B3ABD6-E688-4769-9BEB-FEC608B2D8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2638E9-E684-4FE0-91E9-BBEACDB9D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b617c-74a2-40fc-a32d-d72579122881"/>
    <ds:schemaRef ds:uri="b4dcadea-d2c5-4b92-881c-0a2c38718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96C962-7E0C-453A-ACC1-19B123DB8C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167720-226F-4F72-9326-D80AD53C54B7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f5b617c-74a2-40fc-a32d-d72579122881"/>
    <ds:schemaRef ds:uri="b4dcadea-d2c5-4b92-881c-0a2c38718f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WinnCompanies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Lund, Andrew</dc:creator>
  <cp:lastModifiedBy>Kelly DeMatteo</cp:lastModifiedBy>
  <cp:revision>6</cp:revision>
  <cp:lastPrinted>2016-04-27T12:29:00Z</cp:lastPrinted>
  <dcterms:created xsi:type="dcterms:W3CDTF">2022-01-13T18:54:00Z</dcterms:created>
  <dcterms:modified xsi:type="dcterms:W3CDTF">2022-01-13T18:57:00Z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0x01010010B9E1CA00BB8449BBC1BE5796B1F3A1</vt:lpwstr>
  </property>
</Properties>
</file>